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322" w:rsidRPr="00CF3853" w:rsidRDefault="000F4322" w:rsidP="000F4322">
      <w:pPr>
        <w:jc w:val="right"/>
        <w:rPr>
          <w:sz w:val="28"/>
          <w:szCs w:val="24"/>
          <w:lang w:val="ro-RO"/>
        </w:rPr>
      </w:pPr>
      <w:r w:rsidRPr="00CF3853">
        <w:rPr>
          <w:sz w:val="28"/>
          <w:szCs w:val="24"/>
          <w:lang w:val="ro-RO"/>
        </w:rPr>
        <w:t>Anexa nr. 2</w:t>
      </w:r>
    </w:p>
    <w:p w:rsidR="000F4322" w:rsidRPr="00CF3853" w:rsidRDefault="000F4322" w:rsidP="000F4322">
      <w:pPr>
        <w:rPr>
          <w:szCs w:val="24"/>
          <w:lang w:val="ro-RO"/>
        </w:rPr>
      </w:pPr>
    </w:p>
    <w:p w:rsidR="000F4322" w:rsidRPr="00CF3853" w:rsidRDefault="000F4322" w:rsidP="000F4322">
      <w:pPr>
        <w:ind w:firstLine="0"/>
        <w:jc w:val="center"/>
        <w:rPr>
          <w:b/>
          <w:bCs/>
          <w:sz w:val="28"/>
          <w:szCs w:val="24"/>
          <w:lang w:val="ro-RO"/>
        </w:rPr>
      </w:pPr>
      <w:r w:rsidRPr="00CF3853">
        <w:rPr>
          <w:b/>
          <w:bCs/>
          <w:sz w:val="28"/>
          <w:szCs w:val="24"/>
          <w:lang w:val="ro-RO"/>
        </w:rPr>
        <w:t xml:space="preserve">PLAN DE ACŢIUNI </w:t>
      </w:r>
    </w:p>
    <w:p w:rsidR="000F4322" w:rsidRPr="00CF3853" w:rsidRDefault="000F4322" w:rsidP="000F4322">
      <w:pPr>
        <w:ind w:firstLine="0"/>
        <w:jc w:val="center"/>
        <w:rPr>
          <w:b/>
          <w:bCs/>
          <w:sz w:val="28"/>
          <w:szCs w:val="24"/>
          <w:lang w:val="ro-RO" w:eastAsia="ro-RO"/>
        </w:rPr>
      </w:pPr>
      <w:r w:rsidRPr="00CF3853">
        <w:rPr>
          <w:b/>
          <w:bCs/>
          <w:sz w:val="28"/>
          <w:szCs w:val="24"/>
          <w:lang w:val="ro-RO"/>
        </w:rPr>
        <w:t xml:space="preserve">pentru implementarea Strategiei de dezvoltare a </w:t>
      </w:r>
      <w:proofErr w:type="spellStart"/>
      <w:r w:rsidRPr="00CF3853">
        <w:rPr>
          <w:b/>
          <w:bCs/>
          <w:sz w:val="28"/>
          <w:szCs w:val="24"/>
          <w:lang w:val="ro-RO" w:eastAsia="ro-RO"/>
        </w:rPr>
        <w:t>pieţei</w:t>
      </w:r>
      <w:proofErr w:type="spellEnd"/>
      <w:r w:rsidRPr="00CF3853">
        <w:rPr>
          <w:b/>
          <w:bCs/>
          <w:sz w:val="28"/>
          <w:szCs w:val="24"/>
          <w:lang w:val="ro-RO" w:eastAsia="ro-RO"/>
        </w:rPr>
        <w:t xml:space="preserve"> financiare nebancare pe anii 2018–2022 </w:t>
      </w:r>
    </w:p>
    <w:p w:rsidR="000F4322" w:rsidRPr="00CF3853" w:rsidRDefault="000F4322" w:rsidP="000F4322">
      <w:pPr>
        <w:ind w:firstLine="0"/>
        <w:jc w:val="center"/>
        <w:rPr>
          <w:b/>
          <w:bCs/>
          <w:sz w:val="28"/>
          <w:szCs w:val="24"/>
          <w:lang w:val="ro-RO" w:eastAsia="ro-RO"/>
        </w:rPr>
      </w:pPr>
    </w:p>
    <w:p w:rsidR="000F4322" w:rsidRPr="00CF3853" w:rsidRDefault="000F4322" w:rsidP="000F4322">
      <w:pPr>
        <w:ind w:firstLine="0"/>
        <w:rPr>
          <w:sz w:val="12"/>
          <w:szCs w:val="24"/>
          <w:lang w:val="ro-RO"/>
        </w:rPr>
      </w:pPr>
    </w:p>
    <w:tbl>
      <w:tblPr>
        <w:tblStyle w:val="Tabelgril"/>
        <w:tblW w:w="5908" w:type="pct"/>
        <w:tblInd w:w="-1139" w:type="dxa"/>
        <w:tblBorders>
          <w:bottom w:val="none" w:sz="0" w:space="0" w:color="auto"/>
        </w:tblBorders>
        <w:tblLayout w:type="fixed"/>
        <w:tblLook w:val="04A0" w:firstRow="1" w:lastRow="0" w:firstColumn="1" w:lastColumn="0" w:noHBand="0" w:noVBand="1"/>
      </w:tblPr>
      <w:tblGrid>
        <w:gridCol w:w="570"/>
        <w:gridCol w:w="1843"/>
        <w:gridCol w:w="2552"/>
        <w:gridCol w:w="707"/>
        <w:gridCol w:w="1700"/>
        <w:gridCol w:w="1560"/>
        <w:gridCol w:w="1842"/>
      </w:tblGrid>
      <w:tr w:rsidR="000F4322" w:rsidRPr="00CF3853" w:rsidTr="003A5E7E">
        <w:tc>
          <w:tcPr>
            <w:tcW w:w="264" w:type="pct"/>
            <w:hideMark/>
          </w:tcPr>
          <w:p w:rsidR="000F4322" w:rsidRPr="00CF3853" w:rsidRDefault="000F4322" w:rsidP="003A5E7E">
            <w:pPr>
              <w:ind w:firstLine="0"/>
              <w:jc w:val="center"/>
              <w:rPr>
                <w:b/>
                <w:bCs/>
                <w:lang w:val="ro-RO"/>
              </w:rPr>
            </w:pPr>
            <w:r w:rsidRPr="00CF3853">
              <w:rPr>
                <w:b/>
                <w:bCs/>
                <w:lang w:val="ro-RO"/>
              </w:rPr>
              <w:t>Nr.</w:t>
            </w:r>
            <w:r w:rsidRPr="00CF3853">
              <w:rPr>
                <w:b/>
                <w:bCs/>
                <w:lang w:val="ro-RO"/>
              </w:rPr>
              <w:br/>
              <w:t>crt.</w:t>
            </w:r>
          </w:p>
        </w:tc>
        <w:tc>
          <w:tcPr>
            <w:tcW w:w="855" w:type="pct"/>
            <w:hideMark/>
          </w:tcPr>
          <w:p w:rsidR="000F4322" w:rsidRPr="00CF3853" w:rsidRDefault="000F4322" w:rsidP="003A5E7E">
            <w:pPr>
              <w:ind w:firstLine="0"/>
              <w:jc w:val="center"/>
              <w:rPr>
                <w:b/>
                <w:bCs/>
                <w:lang w:val="ro-RO"/>
              </w:rPr>
            </w:pPr>
            <w:r w:rsidRPr="00CF3853">
              <w:rPr>
                <w:b/>
                <w:bCs/>
                <w:lang w:val="ro-RO"/>
              </w:rPr>
              <w:t>Obiective generale/ specifice</w:t>
            </w:r>
          </w:p>
        </w:tc>
        <w:tc>
          <w:tcPr>
            <w:tcW w:w="1184" w:type="pct"/>
            <w:hideMark/>
          </w:tcPr>
          <w:p w:rsidR="000F4322" w:rsidRPr="00CF3853" w:rsidRDefault="000F4322" w:rsidP="003A5E7E">
            <w:pPr>
              <w:ind w:firstLine="0"/>
              <w:jc w:val="center"/>
              <w:rPr>
                <w:b/>
                <w:bCs/>
                <w:lang w:val="ro-RO"/>
              </w:rPr>
            </w:pPr>
            <w:proofErr w:type="spellStart"/>
            <w:r w:rsidRPr="00CF3853">
              <w:rPr>
                <w:b/>
                <w:bCs/>
                <w:lang w:val="ro-RO"/>
              </w:rPr>
              <w:t>Acţiuni</w:t>
            </w:r>
            <w:proofErr w:type="spellEnd"/>
          </w:p>
        </w:tc>
        <w:tc>
          <w:tcPr>
            <w:tcW w:w="328" w:type="pct"/>
          </w:tcPr>
          <w:p w:rsidR="000F4322" w:rsidRPr="00CF3853" w:rsidRDefault="000F4322" w:rsidP="003A5E7E">
            <w:pPr>
              <w:ind w:firstLine="0"/>
              <w:jc w:val="center"/>
              <w:rPr>
                <w:b/>
                <w:bCs/>
                <w:sz w:val="18"/>
                <w:szCs w:val="18"/>
                <w:lang w:val="ro-RO"/>
              </w:rPr>
            </w:pPr>
            <w:proofErr w:type="spellStart"/>
            <w:r w:rsidRPr="00CF3853">
              <w:rPr>
                <w:b/>
                <w:bCs/>
                <w:sz w:val="18"/>
                <w:szCs w:val="18"/>
                <w:lang w:val="ro-RO"/>
              </w:rPr>
              <w:t>Ter-mene</w:t>
            </w:r>
            <w:proofErr w:type="spellEnd"/>
            <w:r w:rsidRPr="00CF3853">
              <w:rPr>
                <w:b/>
                <w:bCs/>
                <w:sz w:val="18"/>
                <w:szCs w:val="18"/>
                <w:lang w:val="ro-RO"/>
              </w:rPr>
              <w:t xml:space="preserve"> de reali-zare</w:t>
            </w:r>
          </w:p>
        </w:tc>
        <w:tc>
          <w:tcPr>
            <w:tcW w:w="789" w:type="pct"/>
            <w:hideMark/>
          </w:tcPr>
          <w:p w:rsidR="000F4322" w:rsidRPr="00CF3853" w:rsidRDefault="000F4322" w:rsidP="003A5E7E">
            <w:pPr>
              <w:ind w:firstLine="0"/>
              <w:jc w:val="center"/>
              <w:rPr>
                <w:b/>
                <w:bCs/>
                <w:lang w:val="ro-RO"/>
              </w:rPr>
            </w:pPr>
            <w:r w:rsidRPr="00CF3853">
              <w:rPr>
                <w:b/>
                <w:bCs/>
                <w:lang w:val="ro-RO"/>
              </w:rPr>
              <w:t>Responsabili de implementare</w:t>
            </w:r>
          </w:p>
        </w:tc>
        <w:tc>
          <w:tcPr>
            <w:tcW w:w="724" w:type="pct"/>
          </w:tcPr>
          <w:p w:rsidR="000F4322" w:rsidRPr="00CF3853" w:rsidRDefault="000F4322" w:rsidP="003A5E7E">
            <w:pPr>
              <w:ind w:firstLine="0"/>
              <w:jc w:val="center"/>
              <w:rPr>
                <w:b/>
                <w:bCs/>
                <w:lang w:val="ro-RO"/>
              </w:rPr>
            </w:pPr>
            <w:r w:rsidRPr="00CF3853">
              <w:rPr>
                <w:b/>
                <w:bCs/>
                <w:lang w:val="ro-RO"/>
              </w:rPr>
              <w:t>Costuri</w:t>
            </w:r>
          </w:p>
        </w:tc>
        <w:tc>
          <w:tcPr>
            <w:tcW w:w="855" w:type="pct"/>
          </w:tcPr>
          <w:p w:rsidR="000F4322" w:rsidRPr="00CF3853" w:rsidRDefault="000F4322" w:rsidP="003A5E7E">
            <w:pPr>
              <w:ind w:firstLine="0"/>
              <w:jc w:val="center"/>
              <w:rPr>
                <w:b/>
                <w:bCs/>
                <w:lang w:val="ro-RO"/>
              </w:rPr>
            </w:pPr>
            <w:r w:rsidRPr="00CF3853">
              <w:rPr>
                <w:b/>
                <w:bCs/>
                <w:lang w:val="ro-RO"/>
              </w:rPr>
              <w:t>Indicatori</w:t>
            </w:r>
          </w:p>
          <w:p w:rsidR="000F4322" w:rsidRPr="00CF3853" w:rsidRDefault="000F4322" w:rsidP="003A5E7E">
            <w:pPr>
              <w:ind w:firstLine="0"/>
              <w:jc w:val="center"/>
              <w:rPr>
                <w:b/>
                <w:bCs/>
                <w:lang w:val="ro-RO"/>
              </w:rPr>
            </w:pPr>
            <w:r w:rsidRPr="00CF3853">
              <w:rPr>
                <w:b/>
                <w:bCs/>
                <w:lang w:val="ro-RO"/>
              </w:rPr>
              <w:t>de performanță</w:t>
            </w:r>
          </w:p>
        </w:tc>
      </w:tr>
    </w:tbl>
    <w:p w:rsidR="000F4322" w:rsidRPr="00CF3853" w:rsidRDefault="000F4322" w:rsidP="000F4322">
      <w:pPr>
        <w:rPr>
          <w:sz w:val="2"/>
          <w:szCs w:val="2"/>
        </w:rPr>
      </w:pPr>
    </w:p>
    <w:tbl>
      <w:tblPr>
        <w:tblStyle w:val="Tabelgril"/>
        <w:tblpPr w:leftFromText="180" w:rightFromText="180" w:vertAnchor="text" w:tblpX="-1139" w:tblpY="1"/>
        <w:tblOverlap w:val="never"/>
        <w:tblW w:w="5908" w:type="pct"/>
        <w:tblLook w:val="04A0" w:firstRow="1" w:lastRow="0" w:firstColumn="1" w:lastColumn="0" w:noHBand="0" w:noVBand="1"/>
      </w:tblPr>
      <w:tblGrid>
        <w:gridCol w:w="570"/>
        <w:gridCol w:w="1842"/>
        <w:gridCol w:w="2551"/>
        <w:gridCol w:w="711"/>
        <w:gridCol w:w="1702"/>
        <w:gridCol w:w="1560"/>
        <w:gridCol w:w="1838"/>
      </w:tblGrid>
      <w:tr w:rsidR="000F4322" w:rsidRPr="00CF3853" w:rsidTr="001454A8">
        <w:trPr>
          <w:cantSplit/>
          <w:tblHeader/>
        </w:trPr>
        <w:tc>
          <w:tcPr>
            <w:tcW w:w="264" w:type="pct"/>
            <w:hideMark/>
          </w:tcPr>
          <w:p w:rsidR="000F4322" w:rsidRPr="00CF3853" w:rsidRDefault="000F4322" w:rsidP="001454A8">
            <w:pPr>
              <w:ind w:firstLine="0"/>
              <w:jc w:val="center"/>
              <w:rPr>
                <w:b/>
                <w:bCs/>
                <w:lang w:val="ro-RO"/>
              </w:rPr>
            </w:pPr>
            <w:r w:rsidRPr="00CF3853">
              <w:rPr>
                <w:b/>
                <w:bCs/>
                <w:lang w:val="ro-RO"/>
              </w:rPr>
              <w:t>1</w:t>
            </w:r>
          </w:p>
        </w:tc>
        <w:tc>
          <w:tcPr>
            <w:tcW w:w="855" w:type="pct"/>
            <w:hideMark/>
          </w:tcPr>
          <w:p w:rsidR="000F4322" w:rsidRPr="00CF3853" w:rsidRDefault="000F4322" w:rsidP="001454A8">
            <w:pPr>
              <w:ind w:firstLine="0"/>
              <w:jc w:val="center"/>
              <w:rPr>
                <w:b/>
                <w:bCs/>
                <w:lang w:val="ro-RO"/>
              </w:rPr>
            </w:pPr>
            <w:r w:rsidRPr="00CF3853">
              <w:rPr>
                <w:b/>
                <w:bCs/>
                <w:lang w:val="ro-RO"/>
              </w:rPr>
              <w:t>2</w:t>
            </w:r>
          </w:p>
        </w:tc>
        <w:tc>
          <w:tcPr>
            <w:tcW w:w="1184" w:type="pct"/>
            <w:hideMark/>
          </w:tcPr>
          <w:p w:rsidR="000F4322" w:rsidRPr="00CF3853" w:rsidRDefault="000F4322" w:rsidP="001454A8">
            <w:pPr>
              <w:ind w:firstLine="0"/>
              <w:jc w:val="center"/>
              <w:rPr>
                <w:b/>
                <w:bCs/>
                <w:lang w:val="ro-RO"/>
              </w:rPr>
            </w:pPr>
            <w:r w:rsidRPr="00CF3853">
              <w:rPr>
                <w:b/>
                <w:bCs/>
                <w:lang w:val="ro-RO"/>
              </w:rPr>
              <w:t>3</w:t>
            </w:r>
          </w:p>
        </w:tc>
        <w:tc>
          <w:tcPr>
            <w:tcW w:w="330" w:type="pct"/>
          </w:tcPr>
          <w:p w:rsidR="000F4322" w:rsidRPr="00CF3853" w:rsidRDefault="000F4322" w:rsidP="001454A8">
            <w:pPr>
              <w:ind w:firstLine="0"/>
              <w:jc w:val="center"/>
              <w:rPr>
                <w:b/>
                <w:bCs/>
                <w:lang w:val="ro-RO"/>
              </w:rPr>
            </w:pPr>
            <w:r w:rsidRPr="00CF3853">
              <w:rPr>
                <w:b/>
                <w:bCs/>
                <w:lang w:val="ro-RO"/>
              </w:rPr>
              <w:t>4</w:t>
            </w:r>
          </w:p>
        </w:tc>
        <w:tc>
          <w:tcPr>
            <w:tcW w:w="790" w:type="pct"/>
            <w:hideMark/>
          </w:tcPr>
          <w:p w:rsidR="000F4322" w:rsidRPr="00CF3853" w:rsidRDefault="000F4322" w:rsidP="001454A8">
            <w:pPr>
              <w:ind w:firstLine="0"/>
              <w:jc w:val="center"/>
              <w:rPr>
                <w:b/>
                <w:bCs/>
                <w:lang w:val="ro-RO"/>
              </w:rPr>
            </w:pPr>
            <w:r w:rsidRPr="00CF3853">
              <w:rPr>
                <w:b/>
                <w:bCs/>
                <w:lang w:val="ro-RO"/>
              </w:rPr>
              <w:t>5</w:t>
            </w:r>
          </w:p>
        </w:tc>
        <w:tc>
          <w:tcPr>
            <w:tcW w:w="724" w:type="pct"/>
          </w:tcPr>
          <w:p w:rsidR="000F4322" w:rsidRPr="00CF3853" w:rsidRDefault="000F4322" w:rsidP="001454A8">
            <w:pPr>
              <w:ind w:firstLine="0"/>
              <w:jc w:val="center"/>
              <w:rPr>
                <w:b/>
                <w:bCs/>
                <w:lang w:val="ro-RO"/>
              </w:rPr>
            </w:pPr>
            <w:r w:rsidRPr="00CF3853">
              <w:rPr>
                <w:b/>
                <w:bCs/>
                <w:lang w:val="ro-RO"/>
              </w:rPr>
              <w:t>6</w:t>
            </w:r>
          </w:p>
        </w:tc>
        <w:tc>
          <w:tcPr>
            <w:tcW w:w="854" w:type="pct"/>
          </w:tcPr>
          <w:p w:rsidR="000F4322" w:rsidRPr="00CF3853" w:rsidRDefault="000F4322" w:rsidP="001454A8">
            <w:pPr>
              <w:ind w:firstLine="0"/>
              <w:jc w:val="center"/>
              <w:rPr>
                <w:b/>
                <w:bCs/>
                <w:lang w:val="ro-RO"/>
              </w:rPr>
            </w:pPr>
            <w:r w:rsidRPr="00CF3853">
              <w:rPr>
                <w:b/>
                <w:bCs/>
                <w:lang w:val="ro-RO"/>
              </w:rPr>
              <w:t>7</w:t>
            </w:r>
          </w:p>
        </w:tc>
      </w:tr>
      <w:tr w:rsidR="000F4322" w:rsidRPr="00CF3853" w:rsidTr="001454A8">
        <w:tc>
          <w:tcPr>
            <w:tcW w:w="5000" w:type="pct"/>
            <w:gridSpan w:val="7"/>
            <w:hideMark/>
          </w:tcPr>
          <w:p w:rsidR="000F4322" w:rsidRPr="00CF3853" w:rsidRDefault="000F4322" w:rsidP="001454A8">
            <w:pPr>
              <w:ind w:firstLine="0"/>
              <w:jc w:val="center"/>
              <w:rPr>
                <w:i/>
                <w:lang w:val="ro-RO"/>
              </w:rPr>
            </w:pPr>
            <w:r w:rsidRPr="00CF3853">
              <w:rPr>
                <w:b/>
                <w:bCs/>
                <w:lang w:val="ro-RO"/>
              </w:rPr>
              <w:t>1. Consolidarea cadrului normativ aferent dezvolt</w:t>
            </w:r>
            <w:r w:rsidRPr="00CF3853">
              <w:rPr>
                <w:b/>
                <w:bCs/>
                <w:lang w:val="ro-MD"/>
              </w:rPr>
              <w:t>ă</w:t>
            </w:r>
            <w:proofErr w:type="spellStart"/>
            <w:r w:rsidRPr="00CF3853">
              <w:rPr>
                <w:b/>
                <w:bCs/>
                <w:lang w:val="ro-RO"/>
              </w:rPr>
              <w:t>rii</w:t>
            </w:r>
            <w:proofErr w:type="spellEnd"/>
            <w:r w:rsidRPr="00CF3853">
              <w:rPr>
                <w:b/>
                <w:bCs/>
                <w:lang w:val="ro-RO"/>
              </w:rPr>
              <w:t xml:space="preserve"> pieței financiare nebancare</w:t>
            </w:r>
          </w:p>
        </w:tc>
      </w:tr>
      <w:tr w:rsidR="000F4322" w:rsidRPr="00CF3853" w:rsidTr="001454A8">
        <w:tc>
          <w:tcPr>
            <w:tcW w:w="264" w:type="pct"/>
            <w:vMerge w:val="restart"/>
            <w:hideMark/>
          </w:tcPr>
          <w:p w:rsidR="000F4322" w:rsidRPr="00CF3853" w:rsidRDefault="000F4322" w:rsidP="001454A8">
            <w:pPr>
              <w:ind w:firstLine="0"/>
              <w:jc w:val="center"/>
              <w:rPr>
                <w:b/>
                <w:bCs/>
                <w:lang w:val="ro-RO"/>
              </w:rPr>
            </w:pPr>
            <w:r w:rsidRPr="00CF3853">
              <w:rPr>
                <w:b/>
                <w:bCs/>
                <w:lang w:val="ro-RO"/>
              </w:rPr>
              <w:t>1.1</w:t>
            </w:r>
          </w:p>
        </w:tc>
        <w:tc>
          <w:tcPr>
            <w:tcW w:w="855" w:type="pct"/>
            <w:vMerge w:val="restart"/>
            <w:hideMark/>
          </w:tcPr>
          <w:p w:rsidR="000F4322" w:rsidRPr="00CF3853" w:rsidRDefault="000F4322" w:rsidP="001454A8">
            <w:pPr>
              <w:ind w:firstLine="0"/>
              <w:jc w:val="left"/>
              <w:rPr>
                <w:bCs/>
                <w:lang w:val="ro-RO"/>
              </w:rPr>
            </w:pPr>
            <w:r w:rsidRPr="00CF3853">
              <w:rPr>
                <w:bCs/>
                <w:lang w:val="ro-RO"/>
              </w:rPr>
              <w:t xml:space="preserve">Armonizarea cadrului </w:t>
            </w:r>
            <w:r w:rsidRPr="00CF3853">
              <w:rPr>
                <w:lang w:val="ro-RO"/>
              </w:rPr>
              <w:t>normativ în domeniul pieței de capital cu directivele și normele UE pentru a asigura funcționarea eficientă și continuă a entităților și participanților la aceasta</w:t>
            </w:r>
          </w:p>
        </w:tc>
        <w:tc>
          <w:tcPr>
            <w:tcW w:w="1184" w:type="pct"/>
            <w:hideMark/>
          </w:tcPr>
          <w:p w:rsidR="000F4322" w:rsidRPr="00CF3853" w:rsidRDefault="000F4322" w:rsidP="001454A8">
            <w:pPr>
              <w:ind w:firstLine="0"/>
              <w:contextualSpacing/>
              <w:jc w:val="left"/>
              <w:rPr>
                <w:bCs/>
                <w:lang w:val="ro-RO"/>
              </w:rPr>
            </w:pPr>
            <w:r w:rsidRPr="00CF3853">
              <w:rPr>
                <w:lang w:val="ro-RO"/>
              </w:rPr>
              <w:t xml:space="preserve">1.1.1. </w:t>
            </w:r>
            <w:r w:rsidRPr="00CF3853">
              <w:rPr>
                <w:bCs/>
                <w:lang w:val="ro-RO"/>
              </w:rPr>
              <w:t xml:space="preserve">Elaborarea și implementarea modificărilor și completărilor la legislația privind piața de capital în contextul Directivei 2013/36/UE </w:t>
            </w:r>
          </w:p>
        </w:tc>
        <w:tc>
          <w:tcPr>
            <w:tcW w:w="330" w:type="pct"/>
          </w:tcPr>
          <w:p w:rsidR="000F4322" w:rsidRPr="00CF3853" w:rsidRDefault="000F4322" w:rsidP="001454A8">
            <w:pPr>
              <w:ind w:firstLine="0"/>
              <w:jc w:val="center"/>
              <w:rPr>
                <w:bCs/>
                <w:lang w:val="ro-RO"/>
              </w:rPr>
            </w:pPr>
            <w:r w:rsidRPr="00CF3853">
              <w:rPr>
                <w:bCs/>
                <w:lang w:val="ro-RO"/>
              </w:rPr>
              <w:t>2018</w:t>
            </w:r>
          </w:p>
        </w:tc>
        <w:tc>
          <w:tcPr>
            <w:tcW w:w="790" w:type="pct"/>
            <w:hideMark/>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b/>
                <w:bCs/>
                <w:lang w:val="ro-RO"/>
              </w:rPr>
            </w:pPr>
          </w:p>
        </w:tc>
        <w:tc>
          <w:tcPr>
            <w:tcW w:w="854" w:type="pct"/>
          </w:tcPr>
          <w:p w:rsidR="000F4322" w:rsidRPr="00CF3853" w:rsidRDefault="000F4322" w:rsidP="001454A8">
            <w:pPr>
              <w:ind w:firstLine="0"/>
              <w:jc w:val="left"/>
              <w:rPr>
                <w:bCs/>
                <w:lang w:val="ro-RO"/>
              </w:rPr>
            </w:pPr>
            <w:r w:rsidRPr="00CF3853">
              <w:rPr>
                <w:bCs/>
                <w:lang w:val="ro-RO"/>
              </w:rPr>
              <w:t>Lege revizuită; proiect de lege înaintat spre aprobare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1454A8" w:rsidRPr="00CF3853" w:rsidRDefault="000F4322" w:rsidP="001454A8">
            <w:pPr>
              <w:ind w:firstLine="0"/>
              <w:contextualSpacing/>
              <w:jc w:val="left"/>
              <w:rPr>
                <w:bCs/>
                <w:lang w:val="ro-RO"/>
              </w:rPr>
            </w:pPr>
            <w:r w:rsidRPr="00CF3853">
              <w:rPr>
                <w:bCs/>
                <w:lang w:val="ro-RO"/>
              </w:rPr>
              <w:t>1.1.2.</w:t>
            </w:r>
            <w:r w:rsidRPr="00CF3853">
              <w:rPr>
                <w:lang w:val="ro-RO"/>
              </w:rPr>
              <w:t xml:space="preserve"> </w:t>
            </w:r>
            <w:r w:rsidRPr="00CF3853">
              <w:rPr>
                <w:bCs/>
                <w:lang w:val="ro-RO"/>
              </w:rPr>
              <w:t xml:space="preserve">Elaborarea, aprobarea și punerea în aplicare a cadrului normativ subordonat Legii nr. 171/2012 privind piața de capital, inclusiv transpunerea Regulamentului (CE)  </w:t>
            </w:r>
          </w:p>
          <w:p w:rsidR="000F4322" w:rsidRPr="00CF3853" w:rsidRDefault="000F4322" w:rsidP="001454A8">
            <w:pPr>
              <w:ind w:firstLine="0"/>
              <w:contextualSpacing/>
              <w:jc w:val="left"/>
              <w:rPr>
                <w:bCs/>
                <w:lang w:val="ro-RO"/>
              </w:rPr>
            </w:pPr>
            <w:r w:rsidRPr="00CF3853">
              <w:rPr>
                <w:bCs/>
                <w:lang w:val="ro-RO"/>
              </w:rPr>
              <w:t xml:space="preserve">nr. 575/2013 </w:t>
            </w:r>
          </w:p>
        </w:tc>
        <w:tc>
          <w:tcPr>
            <w:tcW w:w="330" w:type="pct"/>
          </w:tcPr>
          <w:p w:rsidR="000F4322" w:rsidRPr="00CF3853" w:rsidRDefault="000F4322" w:rsidP="001454A8">
            <w:pPr>
              <w:ind w:firstLine="0"/>
              <w:jc w:val="center"/>
              <w:rPr>
                <w:bCs/>
                <w:lang w:val="ro-RO"/>
              </w:rPr>
            </w:pPr>
            <w:r w:rsidRPr="00CF3853">
              <w:rPr>
                <w:bCs/>
                <w:lang w:val="ro-RO"/>
              </w:rPr>
              <w:t>2020</w:t>
            </w:r>
          </w:p>
        </w:tc>
        <w:tc>
          <w:tcPr>
            <w:tcW w:w="790" w:type="pct"/>
            <w:hideMark/>
          </w:tcPr>
          <w:p w:rsidR="000F4322" w:rsidRPr="00CF3853" w:rsidRDefault="000F4322" w:rsidP="001454A8">
            <w:pPr>
              <w:ind w:firstLine="0"/>
              <w:jc w:val="left"/>
              <w:rPr>
                <w:bCs/>
                <w:lang w:val="ro-RO"/>
              </w:rPr>
            </w:pPr>
            <w:r w:rsidRPr="00CF3853">
              <w:rPr>
                <w:bCs/>
                <w:lang w:val="ro-RO"/>
              </w:rPr>
              <w:t>Comisia Națională a Pieței Financiare</w:t>
            </w:r>
          </w:p>
          <w:p w:rsidR="000F4322" w:rsidRPr="00CF3853" w:rsidRDefault="000F4322" w:rsidP="001454A8">
            <w:pPr>
              <w:ind w:firstLine="0"/>
              <w:jc w:val="left"/>
              <w:rPr>
                <w:bCs/>
                <w:lang w:val="ro-RO"/>
              </w:rPr>
            </w:pP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bCs/>
                <w:lang w:val="ro-RO"/>
              </w:rPr>
            </w:pPr>
          </w:p>
        </w:tc>
        <w:tc>
          <w:tcPr>
            <w:tcW w:w="854" w:type="pct"/>
          </w:tcPr>
          <w:p w:rsidR="000F4322" w:rsidRPr="00CF3853" w:rsidRDefault="000F4322" w:rsidP="001454A8">
            <w:pPr>
              <w:ind w:firstLine="0"/>
              <w:jc w:val="left"/>
              <w:rPr>
                <w:bCs/>
                <w:lang w:val="ro-RO"/>
              </w:rPr>
            </w:pPr>
            <w:r w:rsidRPr="00CF3853">
              <w:rPr>
                <w:bCs/>
                <w:lang w:val="ro-RO"/>
              </w:rPr>
              <w:t>Regulament revizuit și aprobat</w:t>
            </w:r>
          </w:p>
        </w:tc>
      </w:tr>
      <w:tr w:rsidR="000F4322" w:rsidRPr="00CF3853" w:rsidTr="001454A8">
        <w:trPr>
          <w:trHeight w:val="777"/>
        </w:trPr>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contextualSpacing/>
              <w:jc w:val="left"/>
              <w:rPr>
                <w:bCs/>
                <w:lang w:val="ro-RO"/>
              </w:rPr>
            </w:pPr>
            <w:r w:rsidRPr="00CF3853">
              <w:rPr>
                <w:lang w:val="ro-RO"/>
              </w:rPr>
              <w:t xml:space="preserve">1.1.3. </w:t>
            </w:r>
            <w:r w:rsidRPr="00CF3853">
              <w:rPr>
                <w:bCs/>
                <w:lang w:val="ro-RO"/>
              </w:rPr>
              <w:t xml:space="preserve">Elaborarea unui studiu privind oportunitatea transpunerii Directivei 2014/65/UE  </w:t>
            </w:r>
          </w:p>
        </w:tc>
        <w:tc>
          <w:tcPr>
            <w:tcW w:w="330" w:type="pct"/>
          </w:tcPr>
          <w:p w:rsidR="000F4322" w:rsidRPr="00CF3853" w:rsidRDefault="000F4322" w:rsidP="001454A8">
            <w:pPr>
              <w:ind w:firstLine="0"/>
              <w:jc w:val="center"/>
              <w:rPr>
                <w:bCs/>
                <w:lang w:val="ro-RO"/>
              </w:rPr>
            </w:pPr>
            <w:r w:rsidRPr="00CF3853">
              <w:rPr>
                <w:bCs/>
                <w:lang w:val="ro-RO"/>
              </w:rPr>
              <w:t>2019</w:t>
            </w:r>
          </w:p>
        </w:tc>
        <w:tc>
          <w:tcPr>
            <w:tcW w:w="790" w:type="pct"/>
            <w:hideMark/>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Asistență externă</w:t>
            </w:r>
          </w:p>
        </w:tc>
        <w:tc>
          <w:tcPr>
            <w:tcW w:w="854" w:type="pct"/>
          </w:tcPr>
          <w:p w:rsidR="000F4322" w:rsidRPr="00CF3853" w:rsidRDefault="000F4322" w:rsidP="001454A8">
            <w:pPr>
              <w:ind w:firstLine="0"/>
              <w:jc w:val="left"/>
              <w:rPr>
                <w:bCs/>
                <w:lang w:val="ro-RO"/>
              </w:rPr>
            </w:pPr>
            <w:r w:rsidRPr="00CF3853">
              <w:rPr>
                <w:bCs/>
                <w:lang w:val="ro-RO"/>
              </w:rPr>
              <w:t>Studiu elaborat</w:t>
            </w:r>
          </w:p>
        </w:tc>
      </w:tr>
      <w:tr w:rsidR="000F4322" w:rsidRPr="00CF3853" w:rsidTr="001454A8">
        <w:trPr>
          <w:trHeight w:val="277"/>
        </w:trPr>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contextualSpacing/>
              <w:jc w:val="left"/>
              <w:rPr>
                <w:lang w:val="ro-RO"/>
              </w:rPr>
            </w:pPr>
            <w:r w:rsidRPr="00CF3853">
              <w:rPr>
                <w:bCs/>
                <w:lang w:val="ro-RO"/>
              </w:rPr>
              <w:t xml:space="preserve">1.1.4. Elaborarea și implementarea modificărilor și completărilor la legislația privind societățile pe acțiuni în contextul Directivei (UE) 2017/1132 și al Directivei (UE) 2017/828 </w:t>
            </w:r>
          </w:p>
        </w:tc>
        <w:tc>
          <w:tcPr>
            <w:tcW w:w="330" w:type="pct"/>
          </w:tcPr>
          <w:p w:rsidR="000F4322" w:rsidRPr="00CF3853" w:rsidRDefault="000F4322" w:rsidP="001454A8">
            <w:pPr>
              <w:ind w:firstLine="0"/>
              <w:jc w:val="center"/>
              <w:rPr>
                <w:bCs/>
                <w:lang w:val="ro-RO"/>
              </w:rPr>
            </w:pPr>
            <w:r w:rsidRPr="00CF3853">
              <w:rPr>
                <w:bCs/>
                <w:lang w:val="ro-RO"/>
              </w:rPr>
              <w:t>2019</w:t>
            </w:r>
          </w:p>
        </w:tc>
        <w:tc>
          <w:tcPr>
            <w:tcW w:w="790" w:type="pct"/>
            <w:hideMark/>
          </w:tcPr>
          <w:p w:rsidR="000F4322" w:rsidRPr="00CF3853" w:rsidRDefault="000F4322" w:rsidP="001454A8">
            <w:pPr>
              <w:ind w:firstLine="0"/>
              <w:jc w:val="left"/>
              <w:rPr>
                <w:bCs/>
                <w:lang w:val="ro-RO"/>
              </w:rPr>
            </w:pPr>
            <w:r w:rsidRPr="00CF3853">
              <w:rPr>
                <w:bCs/>
                <w:lang w:val="ro-RO"/>
              </w:rPr>
              <w:t>Comisia Națională a Pieței Financiare;</w:t>
            </w:r>
          </w:p>
          <w:p w:rsidR="000F4322" w:rsidRPr="00CF3853" w:rsidRDefault="000F4322" w:rsidP="001454A8">
            <w:pPr>
              <w:ind w:firstLine="0"/>
              <w:jc w:val="left"/>
              <w:rPr>
                <w:bCs/>
                <w:lang w:val="ro-RO"/>
              </w:rPr>
            </w:pPr>
            <w:r w:rsidRPr="00CF3853">
              <w:rPr>
                <w:bCs/>
                <w:lang w:val="ro-RO"/>
              </w:rPr>
              <w:t>Ministerul Economiei și Infrastructurii</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Lege revizuită; proiect de lege înaintat spre aprobare</w:t>
            </w:r>
          </w:p>
        </w:tc>
      </w:tr>
      <w:tr w:rsidR="000F4322" w:rsidRPr="00CF3853" w:rsidTr="001454A8">
        <w:trPr>
          <w:trHeight w:val="843"/>
        </w:trPr>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1454A8" w:rsidRPr="00CF3853" w:rsidRDefault="000F4322" w:rsidP="001454A8">
            <w:pPr>
              <w:ind w:firstLine="0"/>
              <w:contextualSpacing/>
              <w:jc w:val="left"/>
              <w:rPr>
                <w:bCs/>
                <w:lang w:val="ro-RO"/>
              </w:rPr>
            </w:pPr>
            <w:r w:rsidRPr="00CF3853">
              <w:rPr>
                <w:bCs/>
                <w:lang w:val="ro-RO"/>
              </w:rPr>
              <w:t xml:space="preserve">1.1.5. Elaborarea planului de acțiuni pentru transpunerea în legislația autohtonă a Regulamentului (CE)  </w:t>
            </w:r>
          </w:p>
          <w:p w:rsidR="000F4322" w:rsidRPr="00CF3853" w:rsidRDefault="000F4322" w:rsidP="001454A8">
            <w:pPr>
              <w:ind w:firstLine="0"/>
              <w:contextualSpacing/>
              <w:jc w:val="left"/>
              <w:rPr>
                <w:bCs/>
                <w:lang w:val="ro-RO"/>
              </w:rPr>
            </w:pPr>
            <w:r w:rsidRPr="00CF3853">
              <w:rPr>
                <w:bCs/>
                <w:lang w:val="ro-RO"/>
              </w:rPr>
              <w:t>nr. 1060/2009</w:t>
            </w:r>
            <w:r w:rsidRPr="00CF3853">
              <w:rPr>
                <w:rStyle w:val="Referinnotdesubsol"/>
                <w:bCs/>
              </w:rPr>
              <w:footnoteReference w:id="1"/>
            </w:r>
            <w:r w:rsidRPr="00CF3853">
              <w:rPr>
                <w:bCs/>
                <w:lang w:val="ro-RO"/>
              </w:rPr>
              <w:t xml:space="preserve"> </w:t>
            </w:r>
          </w:p>
        </w:tc>
        <w:tc>
          <w:tcPr>
            <w:tcW w:w="330" w:type="pct"/>
          </w:tcPr>
          <w:p w:rsidR="000F4322" w:rsidRPr="00CF3853" w:rsidRDefault="000F4322" w:rsidP="001454A8">
            <w:pPr>
              <w:ind w:firstLine="0"/>
              <w:jc w:val="center"/>
              <w:rPr>
                <w:bCs/>
                <w:lang w:val="ro-RO"/>
              </w:rPr>
            </w:pPr>
            <w:r w:rsidRPr="00CF3853">
              <w:rPr>
                <w:bCs/>
                <w:lang w:val="ro-RO"/>
              </w:rPr>
              <w:t>2018</w:t>
            </w:r>
          </w:p>
        </w:tc>
        <w:tc>
          <w:tcPr>
            <w:tcW w:w="790" w:type="pct"/>
            <w:hideMark/>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Asistență externă – Guvernul Marii Britanii</w:t>
            </w:r>
          </w:p>
        </w:tc>
        <w:tc>
          <w:tcPr>
            <w:tcW w:w="854" w:type="pct"/>
          </w:tcPr>
          <w:p w:rsidR="000F4322" w:rsidRPr="00CF3853" w:rsidRDefault="000F4322" w:rsidP="001454A8">
            <w:pPr>
              <w:ind w:firstLine="0"/>
              <w:jc w:val="left"/>
              <w:rPr>
                <w:bCs/>
                <w:lang w:val="ro-RO"/>
              </w:rPr>
            </w:pPr>
            <w:r w:rsidRPr="00CF3853">
              <w:rPr>
                <w:bCs/>
                <w:lang w:val="ro-RO"/>
              </w:rPr>
              <w:t>Plan de acțiuni elaborat</w:t>
            </w:r>
          </w:p>
        </w:tc>
      </w:tr>
      <w:tr w:rsidR="000F4322" w:rsidRPr="00CF3853" w:rsidTr="001454A8">
        <w:tc>
          <w:tcPr>
            <w:tcW w:w="264" w:type="pct"/>
            <w:vMerge w:val="restart"/>
          </w:tcPr>
          <w:p w:rsidR="000F4322" w:rsidRPr="00CF3853" w:rsidRDefault="000F4322" w:rsidP="001454A8">
            <w:pPr>
              <w:ind w:firstLine="0"/>
              <w:jc w:val="center"/>
              <w:rPr>
                <w:b/>
                <w:lang w:val="ro-RO"/>
              </w:rPr>
            </w:pPr>
            <w:r w:rsidRPr="00CF3853">
              <w:rPr>
                <w:b/>
                <w:lang w:val="ro-RO"/>
              </w:rPr>
              <w:t>1.2</w:t>
            </w:r>
          </w:p>
        </w:tc>
        <w:tc>
          <w:tcPr>
            <w:tcW w:w="855" w:type="pct"/>
            <w:vMerge w:val="restart"/>
          </w:tcPr>
          <w:p w:rsidR="000F4322" w:rsidRPr="00CF3853" w:rsidRDefault="000F4322" w:rsidP="001454A8">
            <w:pPr>
              <w:ind w:firstLine="0"/>
              <w:jc w:val="left"/>
              <w:rPr>
                <w:lang w:val="ro-RO"/>
              </w:rPr>
            </w:pPr>
            <w:r w:rsidRPr="00CF3853">
              <w:rPr>
                <w:lang w:val="ro-RO"/>
              </w:rPr>
              <w:t xml:space="preserve">Stimularea dezvoltării pieței de capital </w:t>
            </w:r>
          </w:p>
          <w:p w:rsidR="000F4322" w:rsidRPr="00CF3853" w:rsidRDefault="000F4322" w:rsidP="001454A8">
            <w:pPr>
              <w:ind w:firstLine="0"/>
              <w:jc w:val="left"/>
              <w:rPr>
                <w:lang w:val="ro-RO"/>
              </w:rPr>
            </w:pPr>
          </w:p>
        </w:tc>
        <w:tc>
          <w:tcPr>
            <w:tcW w:w="1184" w:type="pct"/>
          </w:tcPr>
          <w:p w:rsidR="000F4322" w:rsidRPr="00CF3853" w:rsidRDefault="000F4322" w:rsidP="001454A8">
            <w:pPr>
              <w:ind w:firstLine="0"/>
              <w:jc w:val="left"/>
              <w:rPr>
                <w:bCs/>
                <w:lang w:val="ro-RO"/>
              </w:rPr>
            </w:pPr>
            <w:r w:rsidRPr="00CF3853">
              <w:rPr>
                <w:bCs/>
                <w:lang w:val="ro-RO"/>
              </w:rPr>
              <w:t xml:space="preserve">1.2.1. Elaborarea și aprobarea regulamentului privind emisiunile de obligațiuni corporative de către societățile pe acțiuni și societățile cu răspundere limitată, inclusiv admiterea și circulația  acestora pe piața reglementată sau în cadrul sistemului </w:t>
            </w:r>
            <w:r w:rsidRPr="00CF3853">
              <w:rPr>
                <w:bCs/>
                <w:lang w:val="ro-RO"/>
              </w:rPr>
              <w:lastRenderedPageBreak/>
              <w:t>multilateral de tranzacționare</w:t>
            </w:r>
          </w:p>
        </w:tc>
        <w:tc>
          <w:tcPr>
            <w:tcW w:w="330" w:type="pct"/>
          </w:tcPr>
          <w:p w:rsidR="000F4322" w:rsidRPr="00CF3853" w:rsidRDefault="000F4322" w:rsidP="001454A8">
            <w:pPr>
              <w:ind w:firstLine="0"/>
              <w:jc w:val="center"/>
              <w:rPr>
                <w:bCs/>
                <w:lang w:val="ro-RO"/>
              </w:rPr>
            </w:pPr>
            <w:r w:rsidRPr="00CF3853">
              <w:rPr>
                <w:bCs/>
                <w:lang w:val="ro-RO"/>
              </w:rPr>
              <w:lastRenderedPageBreak/>
              <w:t>2022</w:t>
            </w:r>
          </w:p>
        </w:tc>
        <w:tc>
          <w:tcPr>
            <w:tcW w:w="790" w:type="pct"/>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Regulament elaborat și aprobat</w:t>
            </w:r>
          </w:p>
        </w:tc>
      </w:tr>
      <w:tr w:rsidR="000F4322" w:rsidRPr="00CF3853" w:rsidTr="001454A8">
        <w:trPr>
          <w:trHeight w:val="557"/>
        </w:trPr>
        <w:tc>
          <w:tcPr>
            <w:tcW w:w="264" w:type="pct"/>
            <w:vMerge/>
          </w:tcPr>
          <w:p w:rsidR="000F4322" w:rsidRPr="00CF3853" w:rsidRDefault="000F4322" w:rsidP="001454A8">
            <w:pPr>
              <w:ind w:firstLine="0"/>
              <w:jc w:val="center"/>
              <w:rPr>
                <w:b/>
                <w:lang w:val="ro-RO"/>
              </w:rPr>
            </w:pPr>
          </w:p>
        </w:tc>
        <w:tc>
          <w:tcPr>
            <w:tcW w:w="855" w:type="pct"/>
            <w:vMerge/>
          </w:tcPr>
          <w:p w:rsidR="000F4322" w:rsidRPr="00CF3853" w:rsidRDefault="000F4322" w:rsidP="001454A8">
            <w:pPr>
              <w:ind w:firstLine="0"/>
              <w:rPr>
                <w:lang w:val="ro-RO"/>
              </w:rPr>
            </w:pPr>
          </w:p>
        </w:tc>
        <w:tc>
          <w:tcPr>
            <w:tcW w:w="1184" w:type="pct"/>
          </w:tcPr>
          <w:p w:rsidR="000F4322" w:rsidRPr="00CF3853" w:rsidRDefault="000F4322" w:rsidP="001454A8">
            <w:pPr>
              <w:ind w:firstLine="0"/>
              <w:jc w:val="left"/>
              <w:rPr>
                <w:bCs/>
                <w:lang w:val="ro-RO"/>
              </w:rPr>
            </w:pPr>
            <w:r w:rsidRPr="00CF3853">
              <w:rPr>
                <w:bCs/>
                <w:lang w:val="ro-RO"/>
              </w:rPr>
              <w:t>1.2.2. Elaborarea de recomandări pentru Bursa de Valori a Moldovei în scopul îmbunătățirii mecanismelor și a regulilor de tranzacționare conform celor mai bune practici în domeniu</w:t>
            </w:r>
          </w:p>
        </w:tc>
        <w:tc>
          <w:tcPr>
            <w:tcW w:w="330" w:type="pct"/>
          </w:tcPr>
          <w:p w:rsidR="000F4322" w:rsidRPr="00CF3853" w:rsidRDefault="000F4322" w:rsidP="001454A8">
            <w:pPr>
              <w:ind w:firstLine="0"/>
              <w:jc w:val="center"/>
              <w:rPr>
                <w:bCs/>
                <w:lang w:val="ro-RO"/>
              </w:rPr>
            </w:pPr>
            <w:r w:rsidRPr="00CF3853">
              <w:rPr>
                <w:bCs/>
                <w:lang w:val="ro-RO"/>
              </w:rPr>
              <w:t>2018</w:t>
            </w:r>
          </w:p>
        </w:tc>
        <w:tc>
          <w:tcPr>
            <w:tcW w:w="790" w:type="pct"/>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Recomandări elaborate și înaintate Bursei de Valori a Moldovei</w:t>
            </w:r>
          </w:p>
        </w:tc>
      </w:tr>
      <w:tr w:rsidR="000F4322" w:rsidRPr="00CF3853" w:rsidTr="001454A8">
        <w:trPr>
          <w:trHeight w:val="557"/>
        </w:trPr>
        <w:tc>
          <w:tcPr>
            <w:tcW w:w="264" w:type="pct"/>
            <w:vMerge/>
          </w:tcPr>
          <w:p w:rsidR="000F4322" w:rsidRPr="00CF3853" w:rsidRDefault="000F4322" w:rsidP="001454A8">
            <w:pPr>
              <w:ind w:firstLine="0"/>
              <w:jc w:val="center"/>
              <w:rPr>
                <w:b/>
                <w:lang w:val="ro-RO"/>
              </w:rPr>
            </w:pPr>
          </w:p>
        </w:tc>
        <w:tc>
          <w:tcPr>
            <w:tcW w:w="855" w:type="pct"/>
            <w:vMerge/>
          </w:tcPr>
          <w:p w:rsidR="000F4322" w:rsidRPr="00CF3853" w:rsidRDefault="000F4322" w:rsidP="001454A8">
            <w:pPr>
              <w:ind w:firstLine="0"/>
              <w:rPr>
                <w:lang w:val="ro-RO"/>
              </w:rPr>
            </w:pPr>
          </w:p>
        </w:tc>
        <w:tc>
          <w:tcPr>
            <w:tcW w:w="1184" w:type="pct"/>
          </w:tcPr>
          <w:p w:rsidR="000F4322" w:rsidRPr="00CF3853" w:rsidRDefault="000F4322" w:rsidP="001454A8">
            <w:pPr>
              <w:ind w:firstLine="0"/>
              <w:jc w:val="left"/>
              <w:rPr>
                <w:bCs/>
                <w:lang w:val="ro-RO"/>
              </w:rPr>
            </w:pPr>
            <w:r w:rsidRPr="00CF3853">
              <w:rPr>
                <w:bCs/>
                <w:lang w:val="ro-RO"/>
              </w:rPr>
              <w:t>1.2.3. Elaborarea și aprobarea Instrucțiunii privind emisiunea și modul de înregistrare a obligațiunilor emise de către autoritățile publice locale</w:t>
            </w:r>
            <w:r w:rsidR="002E3BD2" w:rsidRPr="00CF3853">
              <w:rPr>
                <w:bCs/>
                <w:lang w:val="ro-RO"/>
              </w:rPr>
              <w:t>,</w:t>
            </w:r>
            <w:r w:rsidRPr="00CF3853">
              <w:rPr>
                <w:bCs/>
                <w:lang w:val="ro-RO"/>
              </w:rPr>
              <w:t xml:space="preserve"> în scopul asigurării condițiilor optime de finanțare a programelor lor investiționale </w:t>
            </w:r>
          </w:p>
        </w:tc>
        <w:tc>
          <w:tcPr>
            <w:tcW w:w="330" w:type="pct"/>
          </w:tcPr>
          <w:p w:rsidR="000F4322" w:rsidRPr="00CF3853" w:rsidRDefault="000F4322" w:rsidP="001454A8">
            <w:pPr>
              <w:ind w:firstLine="0"/>
              <w:jc w:val="center"/>
              <w:rPr>
                <w:bCs/>
                <w:lang w:val="ro-RO"/>
              </w:rPr>
            </w:pPr>
            <w:r w:rsidRPr="00CF3853">
              <w:rPr>
                <w:bCs/>
                <w:lang w:val="ro-RO"/>
              </w:rPr>
              <w:t>2018</w:t>
            </w:r>
          </w:p>
        </w:tc>
        <w:tc>
          <w:tcPr>
            <w:tcW w:w="790" w:type="pct"/>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Instrucțiune elaborată și aprobată</w:t>
            </w:r>
          </w:p>
        </w:tc>
      </w:tr>
      <w:tr w:rsidR="000F4322" w:rsidRPr="00CF3853" w:rsidTr="001454A8">
        <w:trPr>
          <w:trHeight w:val="557"/>
        </w:trPr>
        <w:tc>
          <w:tcPr>
            <w:tcW w:w="264" w:type="pct"/>
            <w:vMerge/>
          </w:tcPr>
          <w:p w:rsidR="000F4322" w:rsidRPr="00CF3853" w:rsidRDefault="000F4322" w:rsidP="001454A8">
            <w:pPr>
              <w:ind w:firstLine="0"/>
              <w:jc w:val="center"/>
              <w:rPr>
                <w:b/>
                <w:lang w:val="ro-RO"/>
              </w:rPr>
            </w:pPr>
          </w:p>
        </w:tc>
        <w:tc>
          <w:tcPr>
            <w:tcW w:w="855" w:type="pct"/>
            <w:vMerge/>
          </w:tcPr>
          <w:p w:rsidR="000F4322" w:rsidRPr="00CF3853" w:rsidRDefault="000F4322" w:rsidP="001454A8">
            <w:pPr>
              <w:ind w:firstLine="0"/>
              <w:rPr>
                <w:lang w:val="ro-RO"/>
              </w:rPr>
            </w:pPr>
          </w:p>
        </w:tc>
        <w:tc>
          <w:tcPr>
            <w:tcW w:w="1184" w:type="pct"/>
          </w:tcPr>
          <w:p w:rsidR="000F4322" w:rsidRPr="00CF3853" w:rsidRDefault="000F4322" w:rsidP="001454A8">
            <w:pPr>
              <w:ind w:firstLine="0"/>
              <w:contextualSpacing/>
              <w:jc w:val="left"/>
              <w:rPr>
                <w:bCs/>
                <w:lang w:val="ro-RO"/>
              </w:rPr>
            </w:pPr>
            <w:r w:rsidRPr="00CF3853">
              <w:rPr>
                <w:bCs/>
                <w:lang w:val="ro-RO"/>
              </w:rPr>
              <w:t>1.2.4. Elaborarea modificărilor și completărilor la Legea nr. 171/2012 privind piața de capital în scopul atragerii investițiilor prin intermediul ofertelor publice de valori mobiliare efectuate pe piața reglementată sau în cadrul sistemului multilateral de tranzacționare</w:t>
            </w:r>
          </w:p>
        </w:tc>
        <w:tc>
          <w:tcPr>
            <w:tcW w:w="330" w:type="pct"/>
          </w:tcPr>
          <w:p w:rsidR="000F4322" w:rsidRPr="00CF3853" w:rsidRDefault="000F4322" w:rsidP="001454A8">
            <w:pPr>
              <w:ind w:firstLine="0"/>
              <w:jc w:val="center"/>
              <w:rPr>
                <w:bCs/>
                <w:lang w:val="ro-RO"/>
              </w:rPr>
            </w:pPr>
            <w:r w:rsidRPr="00CF3853">
              <w:rPr>
                <w:bCs/>
                <w:lang w:val="ro-RO"/>
              </w:rPr>
              <w:t>2019</w:t>
            </w:r>
          </w:p>
        </w:tc>
        <w:tc>
          <w:tcPr>
            <w:tcW w:w="790" w:type="pct"/>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right="-1397" w:firstLine="0"/>
              <w:jc w:val="left"/>
              <w:rPr>
                <w:bCs/>
                <w:lang w:val="ro-RO"/>
              </w:rPr>
            </w:pPr>
            <w:r w:rsidRPr="00CF3853">
              <w:rPr>
                <w:bCs/>
                <w:lang w:val="ro-RO"/>
              </w:rPr>
              <w:t>În limita bugetului</w:t>
            </w:r>
          </w:p>
          <w:p w:rsidR="000F4322" w:rsidRPr="00CF3853" w:rsidRDefault="000F4322" w:rsidP="001454A8">
            <w:pPr>
              <w:ind w:right="-1397" w:firstLine="0"/>
              <w:jc w:val="left"/>
              <w:rPr>
                <w:bCs/>
                <w:lang w:val="ro-RO"/>
              </w:rPr>
            </w:pPr>
            <w:r w:rsidRPr="00CF3853">
              <w:rPr>
                <w:bCs/>
                <w:lang w:val="ro-RO"/>
              </w:rPr>
              <w:t>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 xml:space="preserve">Legea revizuită și proiectul </w:t>
            </w:r>
            <w:r w:rsidR="002E3BD2" w:rsidRPr="00CF3853">
              <w:rPr>
                <w:bCs/>
                <w:lang w:val="ro-RO"/>
              </w:rPr>
              <w:t xml:space="preserve">de lege </w:t>
            </w:r>
            <w:r w:rsidRPr="00CF3853">
              <w:rPr>
                <w:bCs/>
                <w:lang w:val="ro-RO"/>
              </w:rPr>
              <w:t>înaintat spre aprobare</w:t>
            </w:r>
          </w:p>
        </w:tc>
      </w:tr>
      <w:tr w:rsidR="000F4322" w:rsidRPr="00CF3853" w:rsidTr="001454A8">
        <w:tc>
          <w:tcPr>
            <w:tcW w:w="264" w:type="pct"/>
            <w:vMerge w:val="restart"/>
            <w:hideMark/>
          </w:tcPr>
          <w:p w:rsidR="000F4322" w:rsidRPr="00CF3853" w:rsidRDefault="000F4322" w:rsidP="001454A8">
            <w:pPr>
              <w:ind w:firstLine="0"/>
              <w:jc w:val="center"/>
              <w:rPr>
                <w:b/>
                <w:lang w:val="ro-RO"/>
              </w:rPr>
            </w:pPr>
            <w:r w:rsidRPr="00CF3853">
              <w:rPr>
                <w:b/>
                <w:lang w:val="ro-RO"/>
              </w:rPr>
              <w:t>1.3</w:t>
            </w:r>
          </w:p>
        </w:tc>
        <w:tc>
          <w:tcPr>
            <w:tcW w:w="855" w:type="pct"/>
            <w:vMerge w:val="restart"/>
            <w:hideMark/>
          </w:tcPr>
          <w:p w:rsidR="000F4322" w:rsidRPr="00CF3853" w:rsidRDefault="000F4322" w:rsidP="001454A8">
            <w:pPr>
              <w:ind w:firstLine="0"/>
              <w:jc w:val="left"/>
              <w:rPr>
                <w:lang w:val="ro-RO"/>
              </w:rPr>
            </w:pPr>
            <w:r w:rsidRPr="00CF3853">
              <w:rPr>
                <w:bCs/>
                <w:lang w:val="ro-RO"/>
              </w:rPr>
              <w:t xml:space="preserve">Armonizarea cadrului </w:t>
            </w:r>
            <w:r w:rsidRPr="00CF3853">
              <w:rPr>
                <w:lang w:val="ro-RO"/>
              </w:rPr>
              <w:t>normativ în domeniul asigurărilor cu legislația comunitară și cu cele mai bune practici aplicate la nivel internațional</w:t>
            </w:r>
          </w:p>
        </w:tc>
        <w:tc>
          <w:tcPr>
            <w:tcW w:w="1184" w:type="pct"/>
            <w:hideMark/>
          </w:tcPr>
          <w:p w:rsidR="000F4322" w:rsidRPr="00CF3853" w:rsidRDefault="000F4322" w:rsidP="001454A8">
            <w:pPr>
              <w:ind w:firstLine="0"/>
              <w:jc w:val="left"/>
              <w:rPr>
                <w:bCs/>
                <w:lang w:val="ro-RO"/>
              </w:rPr>
            </w:pPr>
            <w:r w:rsidRPr="00CF3853">
              <w:rPr>
                <w:bCs/>
                <w:lang w:val="ro-RO"/>
              </w:rPr>
              <w:t xml:space="preserve">1.3.1. Transpunerea în legislația națională a Directivei nr. 2009/138/CE, inclusiv a cadrului de rezoluție </w:t>
            </w:r>
            <w:r w:rsidRPr="00CF3853">
              <w:rPr>
                <w:bCs/>
                <w:strike/>
                <w:lang w:val="ro-RO"/>
              </w:rPr>
              <w:t xml:space="preserve"> </w:t>
            </w:r>
          </w:p>
        </w:tc>
        <w:tc>
          <w:tcPr>
            <w:tcW w:w="330" w:type="pct"/>
          </w:tcPr>
          <w:p w:rsidR="000F4322" w:rsidRPr="00CF3853" w:rsidRDefault="000F4322" w:rsidP="001454A8">
            <w:pPr>
              <w:ind w:firstLine="0"/>
              <w:jc w:val="center"/>
              <w:rPr>
                <w:bCs/>
                <w:lang w:val="ro-RO"/>
              </w:rPr>
            </w:pPr>
            <w:r w:rsidRPr="00CF3853">
              <w:rPr>
                <w:bCs/>
                <w:lang w:val="ro-RO"/>
              </w:rPr>
              <w:t>2019</w:t>
            </w:r>
          </w:p>
        </w:tc>
        <w:tc>
          <w:tcPr>
            <w:tcW w:w="790" w:type="pct"/>
            <w:hideMark/>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Asistență tehnică – Banca Mondială</w:t>
            </w:r>
          </w:p>
        </w:tc>
        <w:tc>
          <w:tcPr>
            <w:tcW w:w="854" w:type="pct"/>
          </w:tcPr>
          <w:p w:rsidR="000F4322" w:rsidRPr="00CF3853" w:rsidRDefault="000F4322" w:rsidP="001454A8">
            <w:pPr>
              <w:ind w:firstLine="0"/>
              <w:jc w:val="left"/>
              <w:rPr>
                <w:bCs/>
                <w:lang w:val="ro-RO"/>
              </w:rPr>
            </w:pPr>
            <w:r w:rsidRPr="00CF3853">
              <w:rPr>
                <w:bCs/>
                <w:lang w:val="ro-RO"/>
              </w:rPr>
              <w:t>Proiect de lege elaborat și înaintat spre aprobare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bCs/>
                <w:lang w:val="ro-RO"/>
              </w:rPr>
            </w:pPr>
            <w:r w:rsidRPr="00CF3853">
              <w:rPr>
                <w:bCs/>
                <w:lang w:val="ro-RO"/>
              </w:rPr>
              <w:t>1.3.2. Transpunerea în legislația națională a Directivei (UE) 2016/97, care implică trecerea de la conceptul de intermediere la conceptul de distribuție în asigurări</w:t>
            </w:r>
          </w:p>
        </w:tc>
        <w:tc>
          <w:tcPr>
            <w:tcW w:w="330" w:type="pct"/>
          </w:tcPr>
          <w:p w:rsidR="000F4322" w:rsidRPr="00CF3853" w:rsidRDefault="000F4322" w:rsidP="001454A8">
            <w:pPr>
              <w:ind w:firstLine="0"/>
              <w:jc w:val="center"/>
              <w:rPr>
                <w:bCs/>
                <w:lang w:val="ro-RO"/>
              </w:rPr>
            </w:pPr>
            <w:r w:rsidRPr="00CF3853">
              <w:rPr>
                <w:lang w:val="ro-RO" w:eastAsia="ro-RO"/>
              </w:rPr>
              <w:t>2019</w:t>
            </w:r>
          </w:p>
        </w:tc>
        <w:tc>
          <w:tcPr>
            <w:tcW w:w="790" w:type="pct"/>
            <w:hideMark/>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Legea revizuită și proiect înaintat spre aprobare</w:t>
            </w:r>
          </w:p>
        </w:tc>
      </w:tr>
      <w:tr w:rsidR="000F4322" w:rsidRPr="00CF3853" w:rsidTr="001454A8">
        <w:tc>
          <w:tcPr>
            <w:tcW w:w="264" w:type="pct"/>
            <w:vMerge/>
          </w:tcPr>
          <w:p w:rsidR="000F4322" w:rsidRPr="00CF3853" w:rsidRDefault="000F4322" w:rsidP="001454A8">
            <w:pPr>
              <w:ind w:firstLine="0"/>
              <w:jc w:val="center"/>
              <w:rPr>
                <w:b/>
                <w:bCs/>
                <w:lang w:val="ro-RO"/>
              </w:rPr>
            </w:pPr>
          </w:p>
        </w:tc>
        <w:tc>
          <w:tcPr>
            <w:tcW w:w="855" w:type="pct"/>
            <w:vMerge/>
          </w:tcPr>
          <w:p w:rsidR="000F4322" w:rsidRPr="00CF3853" w:rsidRDefault="000F4322" w:rsidP="001454A8">
            <w:pPr>
              <w:ind w:firstLine="0"/>
              <w:rPr>
                <w:lang w:val="ro-RO"/>
              </w:rPr>
            </w:pPr>
          </w:p>
        </w:tc>
        <w:tc>
          <w:tcPr>
            <w:tcW w:w="1184" w:type="pct"/>
          </w:tcPr>
          <w:p w:rsidR="001454A8" w:rsidRPr="00CF3853" w:rsidRDefault="000F4322" w:rsidP="001454A8">
            <w:pPr>
              <w:ind w:firstLine="0"/>
              <w:jc w:val="left"/>
              <w:rPr>
                <w:lang w:val="ro-RO"/>
              </w:rPr>
            </w:pPr>
            <w:r w:rsidRPr="00CF3853">
              <w:rPr>
                <w:lang w:val="ro-RO"/>
              </w:rPr>
              <w:t xml:space="preserve">1.3.3. Elaborarea și promovarea proiectului de lege de modificare și completare a Legii      </w:t>
            </w:r>
          </w:p>
          <w:p w:rsidR="000F4322" w:rsidRPr="00CF3853" w:rsidRDefault="000F4322" w:rsidP="001454A8">
            <w:pPr>
              <w:ind w:firstLine="0"/>
              <w:jc w:val="left"/>
              <w:rPr>
                <w:lang w:val="ro-RO"/>
              </w:rPr>
            </w:pPr>
            <w:r w:rsidRPr="00CF3853">
              <w:rPr>
                <w:lang w:val="ro-RO"/>
              </w:rPr>
              <w:t xml:space="preserve">nr. 407/2006 cu privire la asigurări în scopul corelării acesteia cu cadrul normativ în vigoare </w:t>
            </w:r>
          </w:p>
        </w:tc>
        <w:tc>
          <w:tcPr>
            <w:tcW w:w="330" w:type="pct"/>
          </w:tcPr>
          <w:p w:rsidR="000F4322" w:rsidRPr="00CF3853" w:rsidRDefault="000F4322" w:rsidP="001454A8">
            <w:pPr>
              <w:ind w:firstLine="0"/>
              <w:jc w:val="center"/>
              <w:rPr>
                <w:lang w:val="ro-RO" w:eastAsia="ro-RO"/>
              </w:rPr>
            </w:pPr>
            <w:r w:rsidRPr="00CF3853">
              <w:rPr>
                <w:lang w:val="ro-RO" w:eastAsia="ro-RO"/>
              </w:rPr>
              <w:t>2018</w:t>
            </w:r>
          </w:p>
        </w:tc>
        <w:tc>
          <w:tcPr>
            <w:tcW w:w="790" w:type="pct"/>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Proiect de lege înaintat spre aprobare</w:t>
            </w:r>
          </w:p>
        </w:tc>
      </w:tr>
      <w:tr w:rsidR="000F4322" w:rsidRPr="00CF3853" w:rsidTr="001454A8">
        <w:tc>
          <w:tcPr>
            <w:tcW w:w="264" w:type="pct"/>
            <w:vMerge/>
          </w:tcPr>
          <w:p w:rsidR="000F4322" w:rsidRPr="00CF3853" w:rsidRDefault="000F4322" w:rsidP="001454A8">
            <w:pPr>
              <w:ind w:firstLine="0"/>
              <w:jc w:val="center"/>
              <w:rPr>
                <w:b/>
                <w:bCs/>
                <w:lang w:val="ro-RO"/>
              </w:rPr>
            </w:pPr>
          </w:p>
        </w:tc>
        <w:tc>
          <w:tcPr>
            <w:tcW w:w="855" w:type="pct"/>
            <w:vMerge/>
          </w:tcPr>
          <w:p w:rsidR="000F4322" w:rsidRPr="00CF3853" w:rsidRDefault="000F4322" w:rsidP="001454A8">
            <w:pPr>
              <w:ind w:firstLine="0"/>
              <w:rPr>
                <w:lang w:val="ro-RO"/>
              </w:rPr>
            </w:pPr>
          </w:p>
        </w:tc>
        <w:tc>
          <w:tcPr>
            <w:tcW w:w="1184" w:type="pct"/>
          </w:tcPr>
          <w:p w:rsidR="000F4322" w:rsidRPr="00CF3853" w:rsidRDefault="000F4322" w:rsidP="001454A8">
            <w:pPr>
              <w:ind w:firstLine="0"/>
              <w:jc w:val="left"/>
              <w:rPr>
                <w:lang w:val="ro-RO"/>
              </w:rPr>
            </w:pPr>
            <w:r w:rsidRPr="00CF3853">
              <w:rPr>
                <w:lang w:val="ro-RO"/>
              </w:rPr>
              <w:t xml:space="preserve">1.3.4. Elaborarea de acte normative pentru punerea în aplicare a noului cadru </w:t>
            </w:r>
            <w:r w:rsidR="002E3BD2" w:rsidRPr="00CF3853">
              <w:rPr>
                <w:lang w:val="ro-RO"/>
              </w:rPr>
              <w:t>norm</w:t>
            </w:r>
            <w:r w:rsidRPr="00CF3853">
              <w:rPr>
                <w:lang w:val="ro-RO"/>
              </w:rPr>
              <w:t xml:space="preserve">ativ privind piața de asigurări și fructificarea capacităților acesteia </w:t>
            </w:r>
          </w:p>
        </w:tc>
        <w:tc>
          <w:tcPr>
            <w:tcW w:w="330" w:type="pct"/>
          </w:tcPr>
          <w:p w:rsidR="000F4322" w:rsidRPr="00CF3853" w:rsidRDefault="000F4322" w:rsidP="001454A8">
            <w:pPr>
              <w:ind w:firstLine="0"/>
              <w:jc w:val="center"/>
              <w:rPr>
                <w:lang w:val="ro-RO" w:eastAsia="ro-RO"/>
              </w:rPr>
            </w:pPr>
            <w:r w:rsidRPr="00CF3853">
              <w:rPr>
                <w:lang w:val="ro-RO" w:eastAsia="ro-RO"/>
              </w:rPr>
              <w:t>2019</w:t>
            </w:r>
          </w:p>
        </w:tc>
        <w:tc>
          <w:tcPr>
            <w:tcW w:w="790" w:type="pct"/>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r w:rsidRPr="00CF3853">
              <w:rPr>
                <w:bCs/>
                <w:lang w:val="ro-RO"/>
              </w:rPr>
              <w:t xml:space="preserve">asistență tehnică – proiectul </w:t>
            </w:r>
            <w:proofErr w:type="spellStart"/>
            <w:r w:rsidRPr="00CF3853">
              <w:rPr>
                <w:bCs/>
                <w:lang w:val="ro-RO"/>
              </w:rPr>
              <w:t>Twinning</w:t>
            </w:r>
            <w:proofErr w:type="spellEnd"/>
          </w:p>
        </w:tc>
        <w:tc>
          <w:tcPr>
            <w:tcW w:w="854" w:type="pct"/>
          </w:tcPr>
          <w:p w:rsidR="000F4322" w:rsidRPr="00CF3853" w:rsidRDefault="000F4322" w:rsidP="001454A8">
            <w:pPr>
              <w:ind w:firstLine="0"/>
              <w:jc w:val="left"/>
              <w:rPr>
                <w:bCs/>
                <w:lang w:val="ro-RO"/>
              </w:rPr>
            </w:pPr>
            <w:r w:rsidRPr="00CF3853">
              <w:rPr>
                <w:bCs/>
                <w:lang w:val="ro-RO"/>
              </w:rPr>
              <w:t>Acte normative elaborate și aprobate</w:t>
            </w:r>
          </w:p>
        </w:tc>
      </w:tr>
      <w:tr w:rsidR="000F4322" w:rsidRPr="00CF3853" w:rsidTr="001454A8">
        <w:tc>
          <w:tcPr>
            <w:tcW w:w="264" w:type="pct"/>
            <w:vMerge/>
          </w:tcPr>
          <w:p w:rsidR="000F4322" w:rsidRPr="00CF3853" w:rsidRDefault="000F4322" w:rsidP="001454A8">
            <w:pPr>
              <w:ind w:firstLine="0"/>
              <w:jc w:val="center"/>
              <w:rPr>
                <w:b/>
                <w:bCs/>
                <w:lang w:val="ro-RO"/>
              </w:rPr>
            </w:pPr>
          </w:p>
        </w:tc>
        <w:tc>
          <w:tcPr>
            <w:tcW w:w="855" w:type="pct"/>
            <w:vMerge/>
          </w:tcPr>
          <w:p w:rsidR="000F4322" w:rsidRPr="00CF3853" w:rsidRDefault="000F4322" w:rsidP="001454A8">
            <w:pPr>
              <w:ind w:firstLine="0"/>
              <w:rPr>
                <w:lang w:val="ro-RO"/>
              </w:rPr>
            </w:pPr>
          </w:p>
        </w:tc>
        <w:tc>
          <w:tcPr>
            <w:tcW w:w="1184" w:type="pct"/>
          </w:tcPr>
          <w:p w:rsidR="000F4322" w:rsidRPr="00CF3853" w:rsidRDefault="000F4322" w:rsidP="001454A8">
            <w:pPr>
              <w:ind w:firstLine="0"/>
              <w:jc w:val="left"/>
              <w:rPr>
                <w:lang w:val="ro-RO"/>
              </w:rPr>
            </w:pPr>
            <w:r w:rsidRPr="00CF3853">
              <w:rPr>
                <w:lang w:val="ro-RO"/>
              </w:rPr>
              <w:t xml:space="preserve">1.3.5. Consolidarea financiară a asigurătorilor și a Biroului Național al Asigurătorilor de Autovehicule </w:t>
            </w:r>
          </w:p>
        </w:tc>
        <w:tc>
          <w:tcPr>
            <w:tcW w:w="330" w:type="pct"/>
          </w:tcPr>
          <w:p w:rsidR="000F4322" w:rsidRPr="00CF3853" w:rsidRDefault="000F4322" w:rsidP="001454A8">
            <w:pPr>
              <w:ind w:firstLine="0"/>
              <w:jc w:val="center"/>
              <w:rPr>
                <w:lang w:val="ro-RO" w:eastAsia="ro-RO"/>
              </w:rPr>
            </w:pPr>
            <w:r w:rsidRPr="00CF3853">
              <w:rPr>
                <w:lang w:val="ro-RO" w:eastAsia="ro-RO"/>
              </w:rPr>
              <w:t>2018</w:t>
            </w:r>
          </w:p>
        </w:tc>
        <w:tc>
          <w:tcPr>
            <w:tcW w:w="790" w:type="pct"/>
          </w:tcPr>
          <w:p w:rsidR="000F4322" w:rsidRPr="00CF3853" w:rsidRDefault="000F4322" w:rsidP="001454A8">
            <w:pPr>
              <w:ind w:firstLine="0"/>
              <w:jc w:val="left"/>
              <w:rPr>
                <w:bCs/>
                <w:lang w:val="ro-RO"/>
              </w:rPr>
            </w:pPr>
            <w:r w:rsidRPr="00CF3853">
              <w:rPr>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bCs/>
                <w:lang w:val="ro-RO"/>
              </w:rPr>
            </w:pPr>
          </w:p>
        </w:tc>
        <w:tc>
          <w:tcPr>
            <w:tcW w:w="854" w:type="pct"/>
          </w:tcPr>
          <w:p w:rsidR="000F4322" w:rsidRPr="00CF3853" w:rsidRDefault="000F4322" w:rsidP="001454A8">
            <w:pPr>
              <w:ind w:firstLine="0"/>
              <w:jc w:val="left"/>
              <w:rPr>
                <w:bCs/>
                <w:lang w:val="ro-RO"/>
              </w:rPr>
            </w:pPr>
            <w:r w:rsidRPr="00CF3853">
              <w:rPr>
                <w:lang w:val="ro-RO"/>
              </w:rPr>
              <w:t>Acte normative revizuite și aprobate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bCs/>
                <w:lang w:val="ro-RO"/>
              </w:rPr>
            </w:pPr>
            <w:r w:rsidRPr="00CF3853">
              <w:rPr>
                <w:bCs/>
                <w:lang w:val="ro-RO"/>
              </w:rPr>
              <w:t xml:space="preserve">1.3.6. Elaborarea actelor normative aferente liberalizării </w:t>
            </w:r>
            <w:r w:rsidRPr="00CF3853">
              <w:rPr>
                <w:lang w:val="ro-RO" w:eastAsia="ro-RO"/>
              </w:rPr>
              <w:t>tarifelor pentru asigurările obligatorii de răspundere civilă auto</w:t>
            </w:r>
          </w:p>
        </w:tc>
        <w:tc>
          <w:tcPr>
            <w:tcW w:w="330" w:type="pct"/>
          </w:tcPr>
          <w:p w:rsidR="000F4322" w:rsidRPr="00CF3853" w:rsidRDefault="000F4322" w:rsidP="001454A8">
            <w:pPr>
              <w:ind w:firstLine="0"/>
              <w:jc w:val="center"/>
              <w:rPr>
                <w:lang w:val="ro-RO" w:eastAsia="ro-RO"/>
              </w:rPr>
            </w:pPr>
            <w:r w:rsidRPr="00CF3853">
              <w:rPr>
                <w:lang w:val="ro-RO" w:eastAsia="ro-RO"/>
              </w:rPr>
              <w:t>2019</w:t>
            </w:r>
          </w:p>
        </w:tc>
        <w:tc>
          <w:tcPr>
            <w:tcW w:w="790" w:type="pct"/>
            <w:hideMark/>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lang w:val="ro-RO"/>
              </w:rPr>
              <w:t xml:space="preserve">Regulamente </w:t>
            </w:r>
            <w:r w:rsidRPr="00CF3853">
              <w:rPr>
                <w:bCs/>
                <w:lang w:val="ro-RO"/>
              </w:rPr>
              <w:t xml:space="preserve">revizuite și înaintate spre aprobare </w:t>
            </w:r>
          </w:p>
        </w:tc>
      </w:tr>
      <w:tr w:rsidR="000F4322" w:rsidRPr="00CF3853" w:rsidTr="001454A8">
        <w:tc>
          <w:tcPr>
            <w:tcW w:w="264" w:type="pct"/>
            <w:vMerge/>
          </w:tcPr>
          <w:p w:rsidR="000F4322" w:rsidRPr="00CF3853" w:rsidRDefault="000F4322" w:rsidP="001454A8">
            <w:pPr>
              <w:ind w:firstLine="0"/>
              <w:jc w:val="center"/>
              <w:rPr>
                <w:b/>
                <w:bCs/>
                <w:lang w:val="ro-RO"/>
              </w:rPr>
            </w:pPr>
          </w:p>
        </w:tc>
        <w:tc>
          <w:tcPr>
            <w:tcW w:w="855" w:type="pct"/>
            <w:vMerge/>
          </w:tcPr>
          <w:p w:rsidR="000F4322" w:rsidRPr="00CF3853" w:rsidRDefault="000F4322" w:rsidP="001454A8">
            <w:pPr>
              <w:ind w:firstLine="0"/>
              <w:rPr>
                <w:lang w:val="ro-RO"/>
              </w:rPr>
            </w:pPr>
          </w:p>
        </w:tc>
        <w:tc>
          <w:tcPr>
            <w:tcW w:w="1184" w:type="pct"/>
          </w:tcPr>
          <w:p w:rsidR="000F4322" w:rsidRPr="00CF3853" w:rsidRDefault="000F4322" w:rsidP="001454A8">
            <w:pPr>
              <w:ind w:firstLine="0"/>
              <w:jc w:val="left"/>
              <w:rPr>
                <w:bCs/>
                <w:lang w:val="ro-RO"/>
              </w:rPr>
            </w:pPr>
            <w:r w:rsidRPr="00CF3853">
              <w:rPr>
                <w:bCs/>
                <w:lang w:val="ro-RO"/>
              </w:rPr>
              <w:t>1.3.7. Elaborarea și promovarea proiectului de lege privind asigurarea obligatorie de locuințe</w:t>
            </w:r>
          </w:p>
        </w:tc>
        <w:tc>
          <w:tcPr>
            <w:tcW w:w="330" w:type="pct"/>
          </w:tcPr>
          <w:p w:rsidR="000F4322" w:rsidRPr="00CF3853" w:rsidRDefault="000F4322" w:rsidP="001454A8">
            <w:pPr>
              <w:ind w:firstLine="0"/>
              <w:jc w:val="center"/>
              <w:rPr>
                <w:lang w:val="ro-RO" w:eastAsia="ro-RO"/>
              </w:rPr>
            </w:pPr>
            <w:r w:rsidRPr="00CF3853">
              <w:rPr>
                <w:lang w:val="ro-RO" w:eastAsia="ro-RO"/>
              </w:rPr>
              <w:t>2020</w:t>
            </w:r>
          </w:p>
        </w:tc>
        <w:tc>
          <w:tcPr>
            <w:tcW w:w="790" w:type="pct"/>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Proiect de lege elaborat și înaintat spre aprobare</w:t>
            </w:r>
          </w:p>
        </w:tc>
      </w:tr>
      <w:tr w:rsidR="000F4322" w:rsidRPr="00CF3853" w:rsidTr="001454A8">
        <w:tc>
          <w:tcPr>
            <w:tcW w:w="264" w:type="pct"/>
            <w:vMerge/>
          </w:tcPr>
          <w:p w:rsidR="000F4322" w:rsidRPr="00CF3853" w:rsidRDefault="000F4322" w:rsidP="001454A8">
            <w:pPr>
              <w:ind w:firstLine="0"/>
              <w:jc w:val="center"/>
              <w:rPr>
                <w:b/>
                <w:bCs/>
                <w:lang w:val="ro-RO"/>
              </w:rPr>
            </w:pPr>
          </w:p>
        </w:tc>
        <w:tc>
          <w:tcPr>
            <w:tcW w:w="855" w:type="pct"/>
            <w:vMerge/>
          </w:tcPr>
          <w:p w:rsidR="000F4322" w:rsidRPr="00CF3853" w:rsidRDefault="000F4322" w:rsidP="001454A8">
            <w:pPr>
              <w:ind w:firstLine="0"/>
              <w:rPr>
                <w:lang w:val="ro-RO"/>
              </w:rPr>
            </w:pPr>
          </w:p>
        </w:tc>
        <w:tc>
          <w:tcPr>
            <w:tcW w:w="1184" w:type="pct"/>
          </w:tcPr>
          <w:p w:rsidR="000F4322" w:rsidRPr="00CF3853" w:rsidRDefault="000F4322" w:rsidP="001454A8">
            <w:pPr>
              <w:ind w:firstLine="0"/>
              <w:jc w:val="left"/>
              <w:rPr>
                <w:bCs/>
                <w:lang w:val="ro-RO"/>
              </w:rPr>
            </w:pPr>
            <w:r w:rsidRPr="00CF3853">
              <w:rPr>
                <w:bCs/>
                <w:lang w:val="ro-RO"/>
              </w:rPr>
              <w:t>1.3.8. Elaborarea și promovarea amendamentelor la legislația în vigoare pentru dezvoltarea parteneriatului public-privat în domeniul asigurărilor medicale</w:t>
            </w:r>
          </w:p>
        </w:tc>
        <w:tc>
          <w:tcPr>
            <w:tcW w:w="330" w:type="pct"/>
          </w:tcPr>
          <w:p w:rsidR="000F4322" w:rsidRPr="00CF3853" w:rsidRDefault="000F4322" w:rsidP="001454A8">
            <w:pPr>
              <w:ind w:firstLine="0"/>
              <w:jc w:val="center"/>
              <w:rPr>
                <w:lang w:val="ro-RO" w:eastAsia="ro-RO"/>
              </w:rPr>
            </w:pPr>
            <w:r w:rsidRPr="00CF3853">
              <w:rPr>
                <w:lang w:val="ro-RO" w:eastAsia="ro-RO"/>
              </w:rPr>
              <w:t>2020</w:t>
            </w:r>
          </w:p>
        </w:tc>
        <w:tc>
          <w:tcPr>
            <w:tcW w:w="790" w:type="pct"/>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Proiect de lege elaborat și înaintat spre aprobare</w:t>
            </w:r>
          </w:p>
        </w:tc>
      </w:tr>
      <w:tr w:rsidR="000F4322" w:rsidRPr="00CF3853" w:rsidTr="001454A8">
        <w:tc>
          <w:tcPr>
            <w:tcW w:w="264" w:type="pct"/>
            <w:vMerge w:val="restart"/>
            <w:hideMark/>
          </w:tcPr>
          <w:p w:rsidR="000F4322" w:rsidRPr="00CF3853" w:rsidRDefault="000F4322" w:rsidP="001454A8">
            <w:pPr>
              <w:ind w:firstLine="0"/>
              <w:jc w:val="center"/>
              <w:rPr>
                <w:b/>
                <w:bCs/>
                <w:lang w:val="ro-RO"/>
              </w:rPr>
            </w:pPr>
            <w:r w:rsidRPr="00CF3853">
              <w:rPr>
                <w:b/>
                <w:bCs/>
                <w:lang w:val="ro-RO"/>
              </w:rPr>
              <w:t>1.4</w:t>
            </w:r>
          </w:p>
        </w:tc>
        <w:tc>
          <w:tcPr>
            <w:tcW w:w="855" w:type="pct"/>
            <w:vMerge w:val="restart"/>
            <w:hideMark/>
          </w:tcPr>
          <w:p w:rsidR="000F4322" w:rsidRPr="00CF3853" w:rsidRDefault="000F4322" w:rsidP="001454A8">
            <w:pPr>
              <w:ind w:firstLine="0"/>
              <w:jc w:val="left"/>
              <w:rPr>
                <w:lang w:val="ro-RO" w:eastAsia="ro-RO"/>
              </w:rPr>
            </w:pPr>
            <w:r w:rsidRPr="00CF3853">
              <w:rPr>
                <w:lang w:val="ro-RO" w:eastAsia="ro-RO"/>
              </w:rPr>
              <w:t xml:space="preserve">Stimularea dezvoltării investitorilor instituționali prin elaborarea și promovarea cadrului normativ </w:t>
            </w:r>
          </w:p>
          <w:p w:rsidR="000F4322" w:rsidRPr="00CF3853" w:rsidRDefault="000F4322" w:rsidP="001454A8">
            <w:pPr>
              <w:ind w:firstLine="0"/>
              <w:jc w:val="left"/>
              <w:rPr>
                <w:lang w:val="ro-RO"/>
              </w:rPr>
            </w:pPr>
          </w:p>
        </w:tc>
        <w:tc>
          <w:tcPr>
            <w:tcW w:w="1184" w:type="pct"/>
            <w:hideMark/>
          </w:tcPr>
          <w:p w:rsidR="000F4322" w:rsidRPr="00CF3853" w:rsidRDefault="000F4322" w:rsidP="001454A8">
            <w:pPr>
              <w:ind w:firstLine="0"/>
              <w:jc w:val="left"/>
              <w:rPr>
                <w:lang w:val="ro-RO" w:eastAsia="ro-RO"/>
              </w:rPr>
            </w:pPr>
            <w:r w:rsidRPr="00CF3853">
              <w:rPr>
                <w:lang w:val="ro-RO" w:eastAsia="ro-RO"/>
              </w:rPr>
              <w:t xml:space="preserve">1.4.1. Elaborarea și aprobarea proiectului de lege privind fondurile de pensii facultative </w:t>
            </w:r>
          </w:p>
        </w:tc>
        <w:tc>
          <w:tcPr>
            <w:tcW w:w="330" w:type="pct"/>
          </w:tcPr>
          <w:p w:rsidR="000F4322" w:rsidRPr="00CF3853" w:rsidRDefault="000F4322" w:rsidP="001454A8">
            <w:pPr>
              <w:ind w:firstLine="0"/>
              <w:jc w:val="center"/>
              <w:rPr>
                <w:lang w:val="ro-RO" w:eastAsia="ro-RO"/>
              </w:rPr>
            </w:pPr>
            <w:r w:rsidRPr="00CF3853">
              <w:rPr>
                <w:lang w:val="ro-RO" w:eastAsia="ro-RO"/>
              </w:rPr>
              <w:t>2019</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Proiect de lege elaborat și înaintat spre aprobare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jc w:val="left"/>
              <w:rPr>
                <w:lang w:val="ro-RO"/>
              </w:rPr>
            </w:pPr>
          </w:p>
        </w:tc>
        <w:tc>
          <w:tcPr>
            <w:tcW w:w="1184" w:type="pct"/>
            <w:hideMark/>
          </w:tcPr>
          <w:p w:rsidR="000F4322" w:rsidRPr="00CF3853" w:rsidRDefault="000F4322" w:rsidP="001454A8">
            <w:pPr>
              <w:ind w:firstLine="0"/>
              <w:jc w:val="left"/>
              <w:rPr>
                <w:lang w:val="ro-RO" w:eastAsia="ro-RO"/>
              </w:rPr>
            </w:pPr>
            <w:r w:rsidRPr="00CF3853">
              <w:rPr>
                <w:lang w:val="ro-RO" w:eastAsia="ro-RO"/>
              </w:rPr>
              <w:t xml:space="preserve">1.4.2. Elaborarea proiectului  de lege privind organizarea </w:t>
            </w:r>
            <w:proofErr w:type="spellStart"/>
            <w:r w:rsidRPr="00CF3853">
              <w:rPr>
                <w:lang w:val="ro-RO" w:eastAsia="ro-RO"/>
              </w:rPr>
              <w:t>şi</w:t>
            </w:r>
            <w:proofErr w:type="spellEnd"/>
            <w:r w:rsidRPr="00CF3853">
              <w:rPr>
                <w:lang w:val="ro-RO" w:eastAsia="ro-RO"/>
              </w:rPr>
              <w:t xml:space="preserve"> funcționarea sistemului de plată a pensiilor facultative</w:t>
            </w:r>
          </w:p>
        </w:tc>
        <w:tc>
          <w:tcPr>
            <w:tcW w:w="330" w:type="pct"/>
          </w:tcPr>
          <w:p w:rsidR="000F4322" w:rsidRPr="00CF3853" w:rsidRDefault="000F4322" w:rsidP="001454A8">
            <w:pPr>
              <w:ind w:firstLine="0"/>
              <w:jc w:val="center"/>
              <w:rPr>
                <w:lang w:val="ro-RO" w:eastAsia="ro-RO"/>
              </w:rPr>
            </w:pPr>
            <w:r w:rsidRPr="00CF3853">
              <w:rPr>
                <w:lang w:val="ro-RO" w:eastAsia="ro-RO"/>
              </w:rPr>
              <w:t>2022</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center"/>
              <w:rPr>
                <w:bCs/>
                <w:lang w:val="ro-RO"/>
              </w:rPr>
            </w:pPr>
            <w:r w:rsidRPr="00CF3853">
              <w:rPr>
                <w:bCs/>
                <w:lang w:val="ro-RO"/>
              </w:rPr>
              <w:t>Proiect de lege elaborat și înaintat spre aprobare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right="-2" w:firstLine="0"/>
              <w:jc w:val="left"/>
              <w:rPr>
                <w:lang w:val="ro-RO"/>
              </w:rPr>
            </w:pPr>
            <w:r w:rsidRPr="00CF3853">
              <w:rPr>
                <w:lang w:val="ro-RO" w:eastAsia="ro-RO"/>
              </w:rPr>
              <w:t>1.4.</w:t>
            </w:r>
            <w:r w:rsidR="003425F4" w:rsidRPr="00CF3853">
              <w:rPr>
                <w:lang w:val="ro-RO" w:eastAsia="ro-RO"/>
              </w:rPr>
              <w:t>3</w:t>
            </w:r>
            <w:r w:rsidRPr="00CF3853">
              <w:rPr>
                <w:lang w:val="ro-RO" w:eastAsia="ro-RO"/>
              </w:rPr>
              <w:t>. Elaborarea proiectului  de lege privind Fondul de garantare a contribuțiilor în sistemul de pensii facultative</w:t>
            </w:r>
          </w:p>
        </w:tc>
        <w:tc>
          <w:tcPr>
            <w:tcW w:w="330" w:type="pct"/>
          </w:tcPr>
          <w:p w:rsidR="000F4322" w:rsidRPr="00CF3853" w:rsidRDefault="000F4322" w:rsidP="001454A8">
            <w:pPr>
              <w:ind w:right="-2" w:firstLine="0"/>
              <w:jc w:val="center"/>
              <w:rPr>
                <w:lang w:val="ro-RO"/>
              </w:rPr>
            </w:pPr>
            <w:r w:rsidRPr="00CF3853">
              <w:rPr>
                <w:lang w:val="ro-RO" w:eastAsia="ro-RO"/>
              </w:rPr>
              <w:t>2022</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Proiect de lege elaborat și înaintat spre aprobare</w:t>
            </w:r>
          </w:p>
        </w:tc>
      </w:tr>
      <w:tr w:rsidR="000F4322" w:rsidRPr="00CF3853" w:rsidTr="001454A8">
        <w:trPr>
          <w:trHeight w:val="1152"/>
        </w:trPr>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lang w:val="ro-RO" w:eastAsia="ro-RO"/>
              </w:rPr>
            </w:pPr>
            <w:r w:rsidRPr="00CF3853">
              <w:rPr>
                <w:lang w:val="ro-RO" w:eastAsia="ro-RO"/>
              </w:rPr>
              <w:t>1.4.</w:t>
            </w:r>
            <w:r w:rsidR="003425F4" w:rsidRPr="00CF3853">
              <w:rPr>
                <w:lang w:val="ro-RO" w:eastAsia="ro-RO"/>
              </w:rPr>
              <w:t>4</w:t>
            </w:r>
            <w:r w:rsidRPr="00CF3853">
              <w:rPr>
                <w:lang w:val="ro-RO" w:eastAsia="ro-RO"/>
              </w:rPr>
              <w:t>. Definitivarea și aprobarea  proiectului  de lege privind organismele de plasament colectiv alternative</w:t>
            </w:r>
          </w:p>
        </w:tc>
        <w:tc>
          <w:tcPr>
            <w:tcW w:w="330" w:type="pct"/>
          </w:tcPr>
          <w:p w:rsidR="000F4322" w:rsidRPr="00CF3853" w:rsidRDefault="000F4322" w:rsidP="001454A8">
            <w:pPr>
              <w:ind w:firstLine="0"/>
              <w:jc w:val="center"/>
              <w:rPr>
                <w:lang w:val="ro-RO" w:eastAsia="ro-RO"/>
              </w:rPr>
            </w:pPr>
            <w:r w:rsidRPr="00CF3853">
              <w:rPr>
                <w:lang w:val="ro-RO" w:eastAsia="ro-RO"/>
              </w:rPr>
              <w:t>2019</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Proiect de lege elaborat și înaintat spre aprobare</w:t>
            </w:r>
          </w:p>
        </w:tc>
      </w:tr>
      <w:tr w:rsidR="000F4322" w:rsidRPr="00CF3853" w:rsidTr="001454A8">
        <w:trPr>
          <w:trHeight w:val="1170"/>
        </w:trPr>
        <w:tc>
          <w:tcPr>
            <w:tcW w:w="264" w:type="pct"/>
            <w:vMerge/>
          </w:tcPr>
          <w:p w:rsidR="000F4322" w:rsidRPr="00CF3853" w:rsidRDefault="000F4322" w:rsidP="001454A8">
            <w:pPr>
              <w:ind w:firstLine="0"/>
              <w:jc w:val="center"/>
              <w:rPr>
                <w:b/>
                <w:bCs/>
                <w:lang w:val="ro-RO"/>
              </w:rPr>
            </w:pPr>
          </w:p>
        </w:tc>
        <w:tc>
          <w:tcPr>
            <w:tcW w:w="855" w:type="pct"/>
            <w:vMerge/>
          </w:tcPr>
          <w:p w:rsidR="000F4322" w:rsidRPr="00CF3853" w:rsidRDefault="000F4322" w:rsidP="001454A8">
            <w:pPr>
              <w:ind w:firstLine="0"/>
              <w:rPr>
                <w:lang w:val="ro-RO"/>
              </w:rPr>
            </w:pPr>
          </w:p>
        </w:tc>
        <w:tc>
          <w:tcPr>
            <w:tcW w:w="1184" w:type="pct"/>
          </w:tcPr>
          <w:p w:rsidR="000F4322" w:rsidRPr="00CF3853" w:rsidRDefault="000F4322" w:rsidP="001454A8">
            <w:pPr>
              <w:ind w:firstLine="0"/>
              <w:jc w:val="left"/>
              <w:rPr>
                <w:lang w:val="ro-RO" w:eastAsia="ro-RO"/>
              </w:rPr>
            </w:pPr>
            <w:r w:rsidRPr="00CF3853">
              <w:rPr>
                <w:lang w:val="ro-RO" w:eastAsia="ro-RO"/>
              </w:rPr>
              <w:t>1.4.</w:t>
            </w:r>
            <w:r w:rsidR="003425F4" w:rsidRPr="00CF3853">
              <w:rPr>
                <w:lang w:val="ro-RO" w:eastAsia="ro-RO"/>
              </w:rPr>
              <w:t>5</w:t>
            </w:r>
            <w:r w:rsidRPr="00CF3853">
              <w:rPr>
                <w:lang w:val="ro-RO" w:eastAsia="ro-RO"/>
              </w:rPr>
              <w:t>. Elaborarea și aprobarea regulamentelor subordonate legii privind organismele de plasament colectiv alternative</w:t>
            </w:r>
          </w:p>
        </w:tc>
        <w:tc>
          <w:tcPr>
            <w:tcW w:w="330" w:type="pct"/>
          </w:tcPr>
          <w:p w:rsidR="000F4322" w:rsidRPr="00CF3853" w:rsidRDefault="000F4322" w:rsidP="001454A8">
            <w:pPr>
              <w:ind w:firstLine="0"/>
              <w:jc w:val="center"/>
              <w:rPr>
                <w:lang w:val="ro-RO" w:eastAsia="ro-RO"/>
              </w:rPr>
            </w:pPr>
            <w:r w:rsidRPr="00CF3853">
              <w:rPr>
                <w:lang w:val="ro-RO" w:eastAsia="ro-RO"/>
              </w:rPr>
              <w:t>2020</w:t>
            </w:r>
          </w:p>
        </w:tc>
        <w:tc>
          <w:tcPr>
            <w:tcW w:w="790" w:type="pct"/>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right="-109" w:firstLine="0"/>
              <w:jc w:val="left"/>
              <w:rPr>
                <w:bCs/>
                <w:lang w:val="ro-RO"/>
              </w:rPr>
            </w:pPr>
            <w:r w:rsidRPr="00CF3853">
              <w:rPr>
                <w:bCs/>
                <w:lang w:val="ro-RO"/>
              </w:rPr>
              <w:t>Regulamentele subordonate legii elaborate și aprobate</w:t>
            </w:r>
          </w:p>
        </w:tc>
      </w:tr>
      <w:tr w:rsidR="000F4322" w:rsidRPr="00CF3853" w:rsidTr="001454A8">
        <w:trPr>
          <w:trHeight w:val="1168"/>
        </w:trPr>
        <w:tc>
          <w:tcPr>
            <w:tcW w:w="264" w:type="pct"/>
            <w:vMerge/>
          </w:tcPr>
          <w:p w:rsidR="000F4322" w:rsidRPr="00CF3853" w:rsidRDefault="000F4322" w:rsidP="001454A8">
            <w:pPr>
              <w:ind w:firstLine="0"/>
              <w:jc w:val="center"/>
              <w:rPr>
                <w:b/>
                <w:bCs/>
                <w:lang w:val="ro-RO"/>
              </w:rPr>
            </w:pPr>
          </w:p>
        </w:tc>
        <w:tc>
          <w:tcPr>
            <w:tcW w:w="855" w:type="pct"/>
            <w:vMerge/>
          </w:tcPr>
          <w:p w:rsidR="000F4322" w:rsidRPr="00CF3853" w:rsidRDefault="000F4322" w:rsidP="001454A8">
            <w:pPr>
              <w:ind w:firstLine="0"/>
              <w:rPr>
                <w:lang w:val="ro-RO"/>
              </w:rPr>
            </w:pPr>
          </w:p>
        </w:tc>
        <w:tc>
          <w:tcPr>
            <w:tcW w:w="1184" w:type="pct"/>
          </w:tcPr>
          <w:p w:rsidR="000F4322" w:rsidRPr="00CF3853" w:rsidRDefault="000F4322" w:rsidP="001454A8">
            <w:pPr>
              <w:ind w:firstLine="0"/>
              <w:jc w:val="left"/>
              <w:rPr>
                <w:lang w:val="ro-RO" w:eastAsia="ro-RO"/>
              </w:rPr>
            </w:pPr>
            <w:r w:rsidRPr="00CF3853">
              <w:rPr>
                <w:lang w:val="ro-RO" w:eastAsia="ro-RO"/>
              </w:rPr>
              <w:t>1.4.</w:t>
            </w:r>
            <w:r w:rsidR="003425F4" w:rsidRPr="00CF3853">
              <w:rPr>
                <w:lang w:val="ro-RO" w:eastAsia="ro-RO"/>
              </w:rPr>
              <w:t>6</w:t>
            </w:r>
            <w:r w:rsidRPr="00CF3853">
              <w:rPr>
                <w:lang w:val="ro-RO" w:eastAsia="ro-RO"/>
              </w:rPr>
              <w:t>. Elaborarea și aprobarea regulamentelor subordonate</w:t>
            </w:r>
            <w:r w:rsidRPr="00CF3853" w:rsidDel="00AE7E2D">
              <w:rPr>
                <w:lang w:val="ro-RO" w:eastAsia="ro-RO"/>
              </w:rPr>
              <w:t xml:space="preserve"> </w:t>
            </w:r>
            <w:r w:rsidRPr="00CF3853">
              <w:rPr>
                <w:lang w:val="ro-RO" w:eastAsia="ro-RO"/>
              </w:rPr>
              <w:t xml:space="preserve">legii privind fondurile de pensii facultative </w:t>
            </w:r>
          </w:p>
        </w:tc>
        <w:tc>
          <w:tcPr>
            <w:tcW w:w="330" w:type="pct"/>
          </w:tcPr>
          <w:p w:rsidR="000F4322" w:rsidRPr="00CF3853" w:rsidRDefault="000F4322" w:rsidP="001454A8">
            <w:pPr>
              <w:ind w:firstLine="0"/>
              <w:jc w:val="center"/>
              <w:rPr>
                <w:lang w:val="ro-RO" w:eastAsia="ro-RO"/>
              </w:rPr>
            </w:pPr>
            <w:r w:rsidRPr="00CF3853">
              <w:rPr>
                <w:lang w:val="ro-RO" w:eastAsia="ro-RO"/>
              </w:rPr>
              <w:t>2020</w:t>
            </w:r>
          </w:p>
        </w:tc>
        <w:tc>
          <w:tcPr>
            <w:tcW w:w="790" w:type="pct"/>
          </w:tcPr>
          <w:p w:rsidR="000F4322" w:rsidRPr="00CF3853" w:rsidRDefault="000F4322" w:rsidP="001454A8">
            <w:pPr>
              <w:ind w:firstLine="0"/>
              <w:jc w:val="left"/>
              <w:rPr>
                <w:lang w:val="ro-RO" w:eastAsia="ro-RO"/>
              </w:rPr>
            </w:pPr>
            <w:r w:rsidRPr="00CF3853">
              <w:rPr>
                <w:lang w:val="ro-RO" w:eastAsia="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lang w:val="ro-RO" w:eastAsia="ro-RO"/>
              </w:rPr>
            </w:pPr>
            <w:r w:rsidRPr="00CF3853">
              <w:rPr>
                <w:lang w:val="ro-RO" w:eastAsia="ro-RO"/>
              </w:rPr>
              <w:t>Regulamentele subordonate legii elaborate și aprobate</w:t>
            </w:r>
          </w:p>
        </w:tc>
      </w:tr>
      <w:tr w:rsidR="000F4322" w:rsidRPr="00CF3853" w:rsidTr="001454A8">
        <w:tc>
          <w:tcPr>
            <w:tcW w:w="264" w:type="pct"/>
            <w:vMerge w:val="restart"/>
            <w:hideMark/>
          </w:tcPr>
          <w:p w:rsidR="000F4322" w:rsidRPr="00CF3853" w:rsidRDefault="000F4322" w:rsidP="001454A8">
            <w:pPr>
              <w:ind w:firstLine="0"/>
              <w:jc w:val="center"/>
              <w:rPr>
                <w:b/>
                <w:bCs/>
                <w:lang w:val="ro-RO"/>
              </w:rPr>
            </w:pPr>
            <w:r w:rsidRPr="00CF3853">
              <w:rPr>
                <w:b/>
                <w:bCs/>
                <w:lang w:val="ro-RO"/>
              </w:rPr>
              <w:t>1.5</w:t>
            </w:r>
          </w:p>
        </w:tc>
        <w:tc>
          <w:tcPr>
            <w:tcW w:w="855" w:type="pct"/>
            <w:vMerge w:val="restart"/>
            <w:hideMark/>
          </w:tcPr>
          <w:p w:rsidR="000F4322" w:rsidRPr="00CF3853" w:rsidRDefault="000F4322" w:rsidP="001454A8">
            <w:pPr>
              <w:ind w:firstLine="0"/>
              <w:jc w:val="left"/>
              <w:rPr>
                <w:lang w:val="ro-RO"/>
              </w:rPr>
            </w:pPr>
            <w:r w:rsidRPr="00CF3853">
              <w:rPr>
                <w:lang w:val="ro-RO"/>
              </w:rPr>
              <w:t>Consolidarea dezvoltării sectorului de creditare nebancară</w:t>
            </w:r>
          </w:p>
        </w:tc>
        <w:tc>
          <w:tcPr>
            <w:tcW w:w="1184" w:type="pct"/>
            <w:hideMark/>
          </w:tcPr>
          <w:p w:rsidR="000F4322" w:rsidRPr="00CF3853" w:rsidRDefault="000F4322" w:rsidP="001454A8">
            <w:pPr>
              <w:ind w:firstLine="0"/>
              <w:jc w:val="left"/>
              <w:rPr>
                <w:lang w:val="ro-RO" w:eastAsia="ro-RO"/>
              </w:rPr>
            </w:pPr>
            <w:r w:rsidRPr="00CF3853">
              <w:rPr>
                <w:bCs/>
                <w:lang w:val="ro-RO"/>
              </w:rPr>
              <w:t xml:space="preserve">1.5.1. Elaborarea proiectelor de </w:t>
            </w:r>
            <w:r w:rsidR="002E3BD2" w:rsidRPr="00CF3853">
              <w:rPr>
                <w:bCs/>
                <w:lang w:val="ro-RO"/>
              </w:rPr>
              <w:t>lege</w:t>
            </w:r>
            <w:r w:rsidRPr="00CF3853">
              <w:rPr>
                <w:bCs/>
                <w:lang w:val="ro-RO"/>
              </w:rPr>
              <w:t xml:space="preserve"> privind garantarea depunerilor de economii ale membrilor AEÎ</w:t>
            </w:r>
          </w:p>
        </w:tc>
        <w:tc>
          <w:tcPr>
            <w:tcW w:w="330" w:type="pct"/>
          </w:tcPr>
          <w:p w:rsidR="000F4322" w:rsidRPr="00CF3853" w:rsidRDefault="000F4322" w:rsidP="001454A8">
            <w:pPr>
              <w:ind w:firstLine="0"/>
              <w:jc w:val="center"/>
              <w:rPr>
                <w:lang w:val="ro-RO" w:eastAsia="ro-RO"/>
              </w:rPr>
            </w:pPr>
            <w:r w:rsidRPr="00CF3853">
              <w:rPr>
                <w:lang w:val="ro-RO" w:eastAsia="ro-RO"/>
              </w:rPr>
              <w:t>2019</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r w:rsidRPr="00CF3853">
              <w:rPr>
                <w:bCs/>
                <w:lang w:val="ro-RO"/>
              </w:rPr>
              <w:t>asistență tehnică – FIDA</w:t>
            </w:r>
          </w:p>
        </w:tc>
        <w:tc>
          <w:tcPr>
            <w:tcW w:w="854" w:type="pct"/>
          </w:tcPr>
          <w:p w:rsidR="000F4322" w:rsidRPr="00CF3853" w:rsidRDefault="000F4322" w:rsidP="001454A8">
            <w:pPr>
              <w:ind w:firstLine="0"/>
              <w:jc w:val="left"/>
              <w:rPr>
                <w:bCs/>
                <w:lang w:val="ro-RO"/>
              </w:rPr>
            </w:pPr>
            <w:r w:rsidRPr="00CF3853">
              <w:rPr>
                <w:bCs/>
                <w:lang w:val="ro-RO"/>
              </w:rPr>
              <w:t>Proiecte de lege elaborate și înaintate spre aprobare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bCs/>
                <w:lang w:val="ro-RO"/>
              </w:rPr>
            </w:pPr>
            <w:r w:rsidRPr="00CF3853">
              <w:rPr>
                <w:bCs/>
                <w:lang w:val="ro-RO"/>
              </w:rPr>
              <w:t xml:space="preserve">1.5.2. Elaborarea măsurilor de stabilizare aplicate AEÎ prin extinderea funcțiilor atribuite </w:t>
            </w:r>
            <w:proofErr w:type="spellStart"/>
            <w:r w:rsidRPr="00CF3853">
              <w:rPr>
                <w:bCs/>
                <w:lang w:val="ro-RO"/>
              </w:rPr>
              <w:t>atît</w:t>
            </w:r>
            <w:proofErr w:type="spellEnd"/>
            <w:r w:rsidRPr="00CF3853">
              <w:rPr>
                <w:bCs/>
                <w:lang w:val="ro-RO"/>
              </w:rPr>
              <w:t xml:space="preserve"> prin schema de garantare a depunerilor de </w:t>
            </w:r>
            <w:r w:rsidRPr="00CF3853">
              <w:rPr>
                <w:bCs/>
                <w:lang w:val="ro-RO"/>
              </w:rPr>
              <w:lastRenderedPageBreak/>
              <w:t xml:space="preserve">economii, </w:t>
            </w:r>
            <w:proofErr w:type="spellStart"/>
            <w:r w:rsidRPr="00CF3853">
              <w:rPr>
                <w:bCs/>
                <w:lang w:val="ro-RO"/>
              </w:rPr>
              <w:t>cît</w:t>
            </w:r>
            <w:proofErr w:type="spellEnd"/>
            <w:r w:rsidRPr="00CF3853">
              <w:rPr>
                <w:bCs/>
                <w:lang w:val="ro-RO"/>
              </w:rPr>
              <w:t xml:space="preserve"> și, după caz, asociației centrale a AEÎ</w:t>
            </w:r>
          </w:p>
        </w:tc>
        <w:tc>
          <w:tcPr>
            <w:tcW w:w="330" w:type="pct"/>
          </w:tcPr>
          <w:p w:rsidR="000F4322" w:rsidRPr="00CF3853" w:rsidRDefault="000F4322" w:rsidP="001454A8">
            <w:pPr>
              <w:ind w:firstLine="0"/>
              <w:jc w:val="center"/>
              <w:rPr>
                <w:lang w:val="ro-RO" w:eastAsia="ro-RO"/>
              </w:rPr>
            </w:pPr>
            <w:r w:rsidRPr="00CF3853">
              <w:rPr>
                <w:lang w:val="ro-RO" w:eastAsia="ro-RO"/>
              </w:rPr>
              <w:lastRenderedPageBreak/>
              <w:t>2020</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Măsuri de stabilizare elaborate și aplicate</w:t>
            </w:r>
          </w:p>
        </w:tc>
      </w:tr>
      <w:tr w:rsidR="000F4322" w:rsidRPr="00CF3853" w:rsidTr="001454A8">
        <w:trPr>
          <w:trHeight w:val="1128"/>
        </w:trPr>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bCs/>
                <w:lang w:val="ro-RO"/>
              </w:rPr>
            </w:pPr>
            <w:r w:rsidRPr="00CF3853">
              <w:rPr>
                <w:bCs/>
                <w:lang w:val="ro-RO"/>
              </w:rPr>
              <w:t>1.5.3. Elaborarea cadrului normativ pentru determinarea competențelor funcționale, a etapelor și a modului de executare a atribuției administrării speciale a AEÎ</w:t>
            </w:r>
          </w:p>
        </w:tc>
        <w:tc>
          <w:tcPr>
            <w:tcW w:w="330" w:type="pct"/>
          </w:tcPr>
          <w:p w:rsidR="000F4322" w:rsidRPr="00CF3853" w:rsidRDefault="000F4322" w:rsidP="001454A8">
            <w:pPr>
              <w:ind w:firstLine="0"/>
              <w:jc w:val="center"/>
              <w:rPr>
                <w:lang w:val="ro-RO" w:eastAsia="ro-RO"/>
              </w:rPr>
            </w:pPr>
            <w:r w:rsidRPr="00CF3853">
              <w:rPr>
                <w:lang w:val="ro-RO" w:eastAsia="ro-RO"/>
              </w:rPr>
              <w:t>2020</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Proiect de lege înaintat spre aprobare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bCs/>
                <w:lang w:val="ro-RO"/>
              </w:rPr>
            </w:pPr>
            <w:r w:rsidRPr="00CF3853">
              <w:rPr>
                <w:bCs/>
                <w:lang w:val="ro-RO"/>
              </w:rPr>
              <w:t>1.5.4. Consolidarea capacităților asociațiilor centrale din cadrul sistemului de AEÎ</w:t>
            </w:r>
          </w:p>
        </w:tc>
        <w:tc>
          <w:tcPr>
            <w:tcW w:w="330" w:type="pct"/>
          </w:tcPr>
          <w:p w:rsidR="000F4322" w:rsidRPr="00CF3853" w:rsidRDefault="000F4322" w:rsidP="001454A8">
            <w:pPr>
              <w:ind w:firstLine="0"/>
              <w:jc w:val="center"/>
              <w:rPr>
                <w:lang w:val="ro-RO" w:eastAsia="ro-RO"/>
              </w:rPr>
            </w:pPr>
            <w:r w:rsidRPr="00CF3853">
              <w:rPr>
                <w:lang w:val="ro-RO" w:eastAsia="ro-RO"/>
              </w:rPr>
              <w:t>2020</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Măsuri implementate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lang w:val="ro-RO" w:eastAsia="ro-RO"/>
              </w:rPr>
            </w:pPr>
            <w:r w:rsidRPr="00CF3853">
              <w:rPr>
                <w:lang w:val="ro-RO" w:eastAsia="ro-RO"/>
              </w:rPr>
              <w:t xml:space="preserve">1.5.5. Elaborarea cadrului de reglementare subordonat Legii nr. 1/2018 privind organizațiile de creditare nebancară </w:t>
            </w:r>
          </w:p>
        </w:tc>
        <w:tc>
          <w:tcPr>
            <w:tcW w:w="330" w:type="pct"/>
          </w:tcPr>
          <w:p w:rsidR="000F4322" w:rsidRPr="00CF3853" w:rsidRDefault="000F4322" w:rsidP="001454A8">
            <w:pPr>
              <w:ind w:firstLine="0"/>
              <w:jc w:val="center"/>
              <w:rPr>
                <w:lang w:val="ru-RU" w:eastAsia="ro-RO"/>
              </w:rPr>
            </w:pPr>
            <w:r w:rsidRPr="00CF3853">
              <w:rPr>
                <w:lang w:val="ro-RO" w:eastAsia="ro-RO"/>
              </w:rPr>
              <w:t>201</w:t>
            </w:r>
            <w:r w:rsidRPr="00CF3853">
              <w:rPr>
                <w:lang w:val="ru-RU" w:eastAsia="ro-RO"/>
              </w:rPr>
              <w:t>8</w:t>
            </w:r>
          </w:p>
        </w:tc>
        <w:tc>
          <w:tcPr>
            <w:tcW w:w="790" w:type="pct"/>
            <w:hideMark/>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Regulamentele subordonate legii elaborate și aprobate</w:t>
            </w:r>
          </w:p>
        </w:tc>
      </w:tr>
      <w:tr w:rsidR="000F4322" w:rsidRPr="00CF3853" w:rsidTr="001454A8">
        <w:trPr>
          <w:trHeight w:val="1401"/>
        </w:trPr>
        <w:tc>
          <w:tcPr>
            <w:tcW w:w="264" w:type="pct"/>
            <w:vMerge/>
          </w:tcPr>
          <w:p w:rsidR="000F4322" w:rsidRPr="00CF3853" w:rsidRDefault="000F4322" w:rsidP="001454A8">
            <w:pPr>
              <w:ind w:firstLine="0"/>
              <w:jc w:val="center"/>
              <w:rPr>
                <w:b/>
                <w:bCs/>
                <w:lang w:val="ro-RO"/>
              </w:rPr>
            </w:pPr>
          </w:p>
        </w:tc>
        <w:tc>
          <w:tcPr>
            <w:tcW w:w="855" w:type="pct"/>
            <w:vMerge/>
          </w:tcPr>
          <w:p w:rsidR="000F4322" w:rsidRPr="00CF3853" w:rsidRDefault="000F4322" w:rsidP="001454A8">
            <w:pPr>
              <w:ind w:firstLine="0"/>
              <w:rPr>
                <w:lang w:val="ro-RO"/>
              </w:rPr>
            </w:pPr>
          </w:p>
        </w:tc>
        <w:tc>
          <w:tcPr>
            <w:tcW w:w="1184" w:type="pct"/>
          </w:tcPr>
          <w:p w:rsidR="000F4322" w:rsidRPr="00CF3853" w:rsidRDefault="000F4322" w:rsidP="001454A8">
            <w:pPr>
              <w:ind w:firstLine="0"/>
              <w:jc w:val="left"/>
              <w:rPr>
                <w:lang w:val="ro-RO" w:eastAsia="ro-RO"/>
              </w:rPr>
            </w:pPr>
            <w:r w:rsidRPr="00CF3853">
              <w:rPr>
                <w:lang w:val="ro-RO" w:eastAsia="ro-RO"/>
              </w:rPr>
              <w:t xml:space="preserve">1.5.6. Efectuarea unui studiu privind practicile aplicate la nivel european și internațional ce țin de reglementarea, autorizarea și supravegherea caselor de amanet (lombardurilor) </w:t>
            </w:r>
          </w:p>
        </w:tc>
        <w:tc>
          <w:tcPr>
            <w:tcW w:w="330" w:type="pct"/>
          </w:tcPr>
          <w:p w:rsidR="000F4322" w:rsidRPr="00CF3853" w:rsidRDefault="000F4322" w:rsidP="001454A8">
            <w:pPr>
              <w:ind w:firstLine="0"/>
              <w:jc w:val="center"/>
              <w:rPr>
                <w:lang w:val="ro-RO" w:eastAsia="ro-RO"/>
              </w:rPr>
            </w:pPr>
            <w:r w:rsidRPr="00CF3853">
              <w:rPr>
                <w:lang w:val="ro-RO" w:eastAsia="ro-RO"/>
              </w:rPr>
              <w:t>2019</w:t>
            </w:r>
          </w:p>
        </w:tc>
        <w:tc>
          <w:tcPr>
            <w:tcW w:w="790" w:type="pct"/>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b/>
                <w:bCs/>
                <w:lang w:val="ro-RO"/>
              </w:rPr>
            </w:pPr>
            <w:r w:rsidRPr="00CF3853">
              <w:rPr>
                <w:bCs/>
                <w:lang w:val="ro-RO"/>
              </w:rPr>
              <w:t>asistență externă</w:t>
            </w:r>
          </w:p>
        </w:tc>
        <w:tc>
          <w:tcPr>
            <w:tcW w:w="854" w:type="pct"/>
          </w:tcPr>
          <w:p w:rsidR="000F4322" w:rsidRPr="00CF3853" w:rsidRDefault="000F4322" w:rsidP="001454A8">
            <w:pPr>
              <w:ind w:firstLine="0"/>
              <w:jc w:val="left"/>
              <w:rPr>
                <w:bCs/>
                <w:lang w:val="ro-RO"/>
              </w:rPr>
            </w:pPr>
            <w:r w:rsidRPr="00CF3853">
              <w:rPr>
                <w:bCs/>
                <w:lang w:val="ro-RO"/>
              </w:rPr>
              <w:t xml:space="preserve">Studiu  elaborat </w:t>
            </w:r>
          </w:p>
        </w:tc>
      </w:tr>
      <w:tr w:rsidR="000F4322" w:rsidRPr="00CF3853" w:rsidTr="001454A8">
        <w:tc>
          <w:tcPr>
            <w:tcW w:w="264" w:type="pct"/>
            <w:vMerge/>
          </w:tcPr>
          <w:p w:rsidR="000F4322" w:rsidRPr="00CF3853" w:rsidRDefault="000F4322" w:rsidP="001454A8">
            <w:pPr>
              <w:ind w:firstLine="0"/>
              <w:jc w:val="center"/>
              <w:rPr>
                <w:b/>
                <w:bCs/>
                <w:lang w:val="ro-RO"/>
              </w:rPr>
            </w:pPr>
          </w:p>
        </w:tc>
        <w:tc>
          <w:tcPr>
            <w:tcW w:w="855" w:type="pct"/>
            <w:vMerge/>
          </w:tcPr>
          <w:p w:rsidR="000F4322" w:rsidRPr="00CF3853" w:rsidRDefault="000F4322" w:rsidP="001454A8">
            <w:pPr>
              <w:ind w:firstLine="0"/>
              <w:rPr>
                <w:lang w:val="ro-RO"/>
              </w:rPr>
            </w:pPr>
          </w:p>
        </w:tc>
        <w:tc>
          <w:tcPr>
            <w:tcW w:w="1184" w:type="pct"/>
          </w:tcPr>
          <w:p w:rsidR="000F4322" w:rsidRPr="00CF3853" w:rsidRDefault="000F4322" w:rsidP="001454A8">
            <w:pPr>
              <w:ind w:firstLine="0"/>
              <w:jc w:val="left"/>
              <w:rPr>
                <w:lang w:val="ro-RO" w:eastAsia="ro-RO"/>
              </w:rPr>
            </w:pPr>
            <w:r w:rsidRPr="00CF3853">
              <w:rPr>
                <w:lang w:val="ro-RO" w:eastAsia="ro-RO"/>
              </w:rPr>
              <w:t xml:space="preserve">1.5.7. Elaborarea modificărilor și completărilor necesare la cadrul normativ existent privind modul de organizare și funcționare a caselor de amanet </w:t>
            </w:r>
          </w:p>
        </w:tc>
        <w:tc>
          <w:tcPr>
            <w:tcW w:w="330" w:type="pct"/>
          </w:tcPr>
          <w:p w:rsidR="000F4322" w:rsidRPr="00CF3853" w:rsidRDefault="000F4322" w:rsidP="001454A8">
            <w:pPr>
              <w:ind w:firstLine="0"/>
              <w:jc w:val="center"/>
              <w:rPr>
                <w:lang w:val="ro-RO" w:eastAsia="ro-RO"/>
              </w:rPr>
            </w:pPr>
            <w:r w:rsidRPr="00CF3853">
              <w:rPr>
                <w:lang w:val="ro-RO" w:eastAsia="ro-RO"/>
              </w:rPr>
              <w:t>2020</w:t>
            </w:r>
          </w:p>
        </w:tc>
        <w:tc>
          <w:tcPr>
            <w:tcW w:w="790" w:type="pct"/>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b/>
                <w:bCs/>
                <w:lang w:val="ro-RO"/>
              </w:rPr>
            </w:pPr>
            <w:r w:rsidRPr="00CF3853">
              <w:rPr>
                <w:bCs/>
                <w:lang w:val="ro-RO"/>
              </w:rPr>
              <w:t>asistență externă</w:t>
            </w:r>
          </w:p>
        </w:tc>
        <w:tc>
          <w:tcPr>
            <w:tcW w:w="854" w:type="pct"/>
          </w:tcPr>
          <w:p w:rsidR="000F4322" w:rsidRPr="00CF3853" w:rsidRDefault="000F4322" w:rsidP="001454A8">
            <w:pPr>
              <w:ind w:firstLine="0"/>
              <w:jc w:val="left"/>
              <w:rPr>
                <w:bCs/>
                <w:lang w:val="ro-RO"/>
              </w:rPr>
            </w:pPr>
            <w:r w:rsidRPr="00CF3853">
              <w:rPr>
                <w:bCs/>
                <w:lang w:val="ro-RO"/>
              </w:rPr>
              <w:t>Cadru normativ revizuit; proiect de lege înaintat spre aprobare</w:t>
            </w:r>
          </w:p>
        </w:tc>
      </w:tr>
      <w:tr w:rsidR="000F4322" w:rsidRPr="00CF3853" w:rsidTr="001454A8">
        <w:tc>
          <w:tcPr>
            <w:tcW w:w="5000" w:type="pct"/>
            <w:gridSpan w:val="7"/>
            <w:hideMark/>
          </w:tcPr>
          <w:p w:rsidR="000F4322" w:rsidRPr="00CF3853" w:rsidRDefault="000F4322" w:rsidP="001454A8">
            <w:pPr>
              <w:ind w:firstLine="0"/>
              <w:jc w:val="center"/>
              <w:rPr>
                <w:b/>
                <w:lang w:val="ro-RO" w:eastAsia="ro-RO"/>
              </w:rPr>
            </w:pPr>
            <w:r w:rsidRPr="00CF3853">
              <w:rPr>
                <w:b/>
                <w:bCs/>
                <w:lang w:val="ro-RO"/>
              </w:rPr>
              <w:t xml:space="preserve">2. </w:t>
            </w:r>
            <w:r w:rsidRPr="00CF3853">
              <w:rPr>
                <w:b/>
                <w:lang w:val="ro-RO" w:eastAsia="ro-RO"/>
              </w:rPr>
              <w:t xml:space="preserve">Consolidarea stabilității financiare și asigurarea solidității financiare </w:t>
            </w:r>
          </w:p>
        </w:tc>
      </w:tr>
      <w:tr w:rsidR="000F4322" w:rsidRPr="00CF3853" w:rsidTr="001454A8">
        <w:tc>
          <w:tcPr>
            <w:tcW w:w="264" w:type="pct"/>
            <w:vMerge w:val="restart"/>
          </w:tcPr>
          <w:p w:rsidR="000F4322" w:rsidRPr="00CF3853" w:rsidRDefault="000F4322" w:rsidP="001454A8">
            <w:pPr>
              <w:ind w:firstLine="0"/>
              <w:jc w:val="center"/>
              <w:rPr>
                <w:b/>
                <w:bCs/>
                <w:lang w:val="ro-RO"/>
              </w:rPr>
            </w:pPr>
            <w:r w:rsidRPr="00CF3853">
              <w:rPr>
                <w:b/>
                <w:bCs/>
                <w:lang w:val="ro-RO"/>
              </w:rPr>
              <w:t>2.1</w:t>
            </w:r>
          </w:p>
        </w:tc>
        <w:tc>
          <w:tcPr>
            <w:tcW w:w="855" w:type="pct"/>
            <w:vMerge w:val="restart"/>
          </w:tcPr>
          <w:p w:rsidR="000F4322" w:rsidRPr="00CF3853" w:rsidRDefault="000F4322" w:rsidP="001454A8">
            <w:pPr>
              <w:ind w:firstLine="0"/>
              <w:jc w:val="left"/>
              <w:rPr>
                <w:bCs/>
                <w:lang w:val="ro-RO"/>
              </w:rPr>
            </w:pPr>
            <w:r w:rsidRPr="00CF3853">
              <w:rPr>
                <w:bCs/>
                <w:lang w:val="ro-RO"/>
              </w:rPr>
              <w:t>Trecerea de la supravegherea bazată pe conformitate la supravegherea bazată pe prevenirea și gestiunea riscurilor</w:t>
            </w:r>
          </w:p>
        </w:tc>
        <w:tc>
          <w:tcPr>
            <w:tcW w:w="1184" w:type="pct"/>
          </w:tcPr>
          <w:p w:rsidR="000F4322" w:rsidRPr="00CF3853" w:rsidRDefault="000F4322" w:rsidP="001454A8">
            <w:pPr>
              <w:ind w:firstLine="0"/>
              <w:jc w:val="left"/>
              <w:rPr>
                <w:lang w:val="ro-RO" w:eastAsia="ro-RO"/>
              </w:rPr>
            </w:pPr>
            <w:r w:rsidRPr="00CF3853">
              <w:rPr>
                <w:lang w:val="ro-RO" w:eastAsia="ro-RO"/>
              </w:rPr>
              <w:t>2.1.1. Elaborarea planului de acțiuni pentru auditul societăților de asigurare</w:t>
            </w:r>
          </w:p>
          <w:p w:rsidR="000F4322" w:rsidRPr="00CF3853" w:rsidRDefault="000F4322" w:rsidP="001454A8">
            <w:pPr>
              <w:ind w:firstLine="0"/>
              <w:jc w:val="left"/>
              <w:rPr>
                <w:lang w:val="ro-RO" w:eastAsia="ro-RO"/>
              </w:rPr>
            </w:pPr>
          </w:p>
        </w:tc>
        <w:tc>
          <w:tcPr>
            <w:tcW w:w="330" w:type="pct"/>
          </w:tcPr>
          <w:p w:rsidR="000F4322" w:rsidRPr="00CF3853" w:rsidRDefault="000F4322" w:rsidP="001454A8">
            <w:pPr>
              <w:ind w:firstLine="0"/>
              <w:jc w:val="center"/>
              <w:rPr>
                <w:bCs/>
                <w:lang w:val="ro-RO"/>
              </w:rPr>
            </w:pPr>
            <w:r w:rsidRPr="00CF3853">
              <w:rPr>
                <w:bCs/>
                <w:lang w:val="ro-RO"/>
              </w:rPr>
              <w:t>2018</w:t>
            </w:r>
          </w:p>
        </w:tc>
        <w:tc>
          <w:tcPr>
            <w:tcW w:w="790" w:type="pct"/>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r w:rsidRPr="00CF3853">
              <w:rPr>
                <w:bCs/>
                <w:lang w:val="ro-RO"/>
              </w:rPr>
              <w:t>asistență externă – Banca Mondială</w:t>
            </w:r>
          </w:p>
        </w:tc>
        <w:tc>
          <w:tcPr>
            <w:tcW w:w="854" w:type="pct"/>
          </w:tcPr>
          <w:p w:rsidR="000F4322" w:rsidRPr="00CF3853" w:rsidRDefault="000F4322" w:rsidP="001454A8">
            <w:pPr>
              <w:ind w:firstLine="0"/>
              <w:jc w:val="left"/>
              <w:rPr>
                <w:bCs/>
                <w:lang w:val="ro-RO"/>
              </w:rPr>
            </w:pPr>
            <w:r w:rsidRPr="00CF3853">
              <w:rPr>
                <w:bCs/>
                <w:lang w:val="ro-RO"/>
              </w:rPr>
              <w:t>Plan de acțiuni elaborat și aprobat</w:t>
            </w:r>
          </w:p>
        </w:tc>
      </w:tr>
      <w:tr w:rsidR="000F4322" w:rsidRPr="00CF3853" w:rsidTr="001454A8">
        <w:tc>
          <w:tcPr>
            <w:tcW w:w="264" w:type="pct"/>
            <w:vMerge/>
          </w:tcPr>
          <w:p w:rsidR="000F4322" w:rsidRPr="00CF3853" w:rsidRDefault="000F4322" w:rsidP="001454A8">
            <w:pPr>
              <w:ind w:firstLine="0"/>
              <w:jc w:val="center"/>
              <w:rPr>
                <w:b/>
                <w:bCs/>
                <w:lang w:val="ro-RO"/>
              </w:rPr>
            </w:pPr>
          </w:p>
        </w:tc>
        <w:tc>
          <w:tcPr>
            <w:tcW w:w="855" w:type="pct"/>
            <w:vMerge/>
          </w:tcPr>
          <w:p w:rsidR="000F4322" w:rsidRPr="00CF3853" w:rsidRDefault="000F4322" w:rsidP="001454A8">
            <w:pPr>
              <w:ind w:firstLine="0"/>
              <w:rPr>
                <w:bCs/>
                <w:lang w:val="ro-RO"/>
              </w:rPr>
            </w:pPr>
          </w:p>
        </w:tc>
        <w:tc>
          <w:tcPr>
            <w:tcW w:w="1184" w:type="pct"/>
          </w:tcPr>
          <w:p w:rsidR="000F4322" w:rsidRPr="00CF3853" w:rsidRDefault="000F4322" w:rsidP="001454A8">
            <w:pPr>
              <w:ind w:firstLine="0"/>
              <w:jc w:val="left"/>
              <w:rPr>
                <w:lang w:val="ro-RO" w:eastAsia="ro-RO"/>
              </w:rPr>
            </w:pPr>
            <w:r w:rsidRPr="00CF3853">
              <w:rPr>
                <w:lang w:val="ro-RO" w:eastAsia="ro-RO"/>
              </w:rPr>
              <w:t>2.1.2. Elaborarea planului de acțiuni privind identificarea beneficiarilor efectivi ai participațiilor calificate în societățile de asigurare</w:t>
            </w:r>
          </w:p>
        </w:tc>
        <w:tc>
          <w:tcPr>
            <w:tcW w:w="330" w:type="pct"/>
          </w:tcPr>
          <w:p w:rsidR="000F4322" w:rsidRPr="00CF3853" w:rsidRDefault="000F4322" w:rsidP="001454A8">
            <w:pPr>
              <w:ind w:firstLine="0"/>
              <w:jc w:val="center"/>
              <w:rPr>
                <w:bCs/>
                <w:lang w:val="ro-RO"/>
              </w:rPr>
            </w:pPr>
            <w:r w:rsidRPr="00CF3853">
              <w:rPr>
                <w:bCs/>
                <w:lang w:val="ro-RO"/>
              </w:rPr>
              <w:t>2018</w:t>
            </w:r>
          </w:p>
        </w:tc>
        <w:tc>
          <w:tcPr>
            <w:tcW w:w="790" w:type="pct"/>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r w:rsidRPr="00CF3853">
              <w:rPr>
                <w:bCs/>
                <w:lang w:val="ro-RO"/>
              </w:rPr>
              <w:t>asistență externă – Banca Mondială</w:t>
            </w:r>
          </w:p>
        </w:tc>
        <w:tc>
          <w:tcPr>
            <w:tcW w:w="854" w:type="pct"/>
          </w:tcPr>
          <w:p w:rsidR="000F4322" w:rsidRPr="00CF3853" w:rsidRDefault="000F4322" w:rsidP="001454A8">
            <w:pPr>
              <w:ind w:firstLine="0"/>
              <w:jc w:val="left"/>
              <w:rPr>
                <w:bCs/>
                <w:lang w:val="ro-RO"/>
              </w:rPr>
            </w:pPr>
            <w:r w:rsidRPr="00CF3853">
              <w:rPr>
                <w:bCs/>
                <w:lang w:val="ro-RO"/>
              </w:rPr>
              <w:t>Plan de acțiuni elaborat și aprobat</w:t>
            </w:r>
          </w:p>
        </w:tc>
      </w:tr>
      <w:tr w:rsidR="000F4322" w:rsidRPr="00CF3853" w:rsidTr="001454A8">
        <w:tc>
          <w:tcPr>
            <w:tcW w:w="264" w:type="pct"/>
            <w:vMerge w:val="restart"/>
            <w:hideMark/>
          </w:tcPr>
          <w:p w:rsidR="000F4322" w:rsidRPr="00CF3853" w:rsidRDefault="000F4322" w:rsidP="001454A8">
            <w:pPr>
              <w:ind w:firstLine="0"/>
              <w:jc w:val="center"/>
              <w:rPr>
                <w:b/>
                <w:bCs/>
                <w:lang w:val="ro-RO"/>
              </w:rPr>
            </w:pPr>
            <w:r w:rsidRPr="00CF3853">
              <w:rPr>
                <w:b/>
                <w:bCs/>
                <w:lang w:val="ro-RO"/>
              </w:rPr>
              <w:t>2.2</w:t>
            </w:r>
          </w:p>
        </w:tc>
        <w:tc>
          <w:tcPr>
            <w:tcW w:w="855" w:type="pct"/>
            <w:vMerge w:val="restart"/>
            <w:hideMark/>
          </w:tcPr>
          <w:p w:rsidR="000F4322" w:rsidRPr="00CF3853" w:rsidRDefault="000F4322" w:rsidP="001454A8">
            <w:pPr>
              <w:ind w:firstLine="0"/>
              <w:jc w:val="left"/>
              <w:rPr>
                <w:bCs/>
                <w:lang w:val="ro-RO"/>
              </w:rPr>
            </w:pPr>
            <w:r w:rsidRPr="00CF3853">
              <w:rPr>
                <w:bCs/>
                <w:lang w:val="ro-RO"/>
              </w:rPr>
              <w:t>Crearea și implementarea mecanismelor necesare pentru punerea în aplicare a supravegherii bazate pe risc, în special prin tehnici și instrumente de prevenire a riscurilor</w:t>
            </w:r>
          </w:p>
        </w:tc>
        <w:tc>
          <w:tcPr>
            <w:tcW w:w="1184" w:type="pct"/>
            <w:hideMark/>
          </w:tcPr>
          <w:p w:rsidR="000F4322" w:rsidRPr="00CF3853" w:rsidRDefault="000F4322" w:rsidP="001454A8">
            <w:pPr>
              <w:ind w:firstLine="0"/>
              <w:jc w:val="left"/>
              <w:rPr>
                <w:bCs/>
                <w:lang w:val="ro-RO"/>
              </w:rPr>
            </w:pPr>
            <w:r w:rsidRPr="00CF3853">
              <w:rPr>
                <w:lang w:val="ro-RO" w:eastAsia="ro-RO"/>
              </w:rPr>
              <w:t xml:space="preserve">2.2.1. </w:t>
            </w:r>
            <w:r w:rsidRPr="00CF3853">
              <w:rPr>
                <w:bCs/>
                <w:lang w:val="ro-RO"/>
              </w:rPr>
              <w:t>Elaborarea standardelor minime de supraveghere bazată pe risc în domeniul asigurărilor</w:t>
            </w:r>
          </w:p>
        </w:tc>
        <w:tc>
          <w:tcPr>
            <w:tcW w:w="330" w:type="pct"/>
          </w:tcPr>
          <w:p w:rsidR="000F4322" w:rsidRPr="00CF3853" w:rsidRDefault="000F4322" w:rsidP="001454A8">
            <w:pPr>
              <w:ind w:firstLine="0"/>
              <w:jc w:val="center"/>
              <w:rPr>
                <w:bCs/>
                <w:lang w:val="ro-RO"/>
              </w:rPr>
            </w:pPr>
            <w:r w:rsidRPr="00CF3853">
              <w:rPr>
                <w:bCs/>
                <w:lang w:val="ro-RO"/>
              </w:rPr>
              <w:t>2019</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Gradul de risc redus cu 10%</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b/>
                <w:bCs/>
                <w:lang w:val="ro-RO"/>
              </w:rPr>
            </w:pPr>
            <w:r w:rsidRPr="00CF3853">
              <w:rPr>
                <w:lang w:val="ro-RO"/>
              </w:rPr>
              <w:t>2.2.2. Crearea profilului de risc pentru fiecare societate de asigurare în vederea punerii în aplicare a funcției preventive și de intervenție timpurie în activitatea de supraveghere a CNPF</w:t>
            </w:r>
          </w:p>
        </w:tc>
        <w:tc>
          <w:tcPr>
            <w:tcW w:w="330" w:type="pct"/>
          </w:tcPr>
          <w:p w:rsidR="000F4322" w:rsidRPr="00CF3853" w:rsidRDefault="000F4322" w:rsidP="001454A8">
            <w:pPr>
              <w:ind w:firstLine="0"/>
              <w:jc w:val="center"/>
              <w:rPr>
                <w:bCs/>
                <w:lang w:val="ro-RO"/>
              </w:rPr>
            </w:pPr>
            <w:r w:rsidRPr="00CF3853">
              <w:rPr>
                <w:bCs/>
                <w:lang w:val="ro-RO"/>
              </w:rPr>
              <w:t>2019</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 xml:space="preserve">Profiluri de risc create în 100% din societățile de asigurare </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lang w:val="ro-RO" w:eastAsia="ro-RO"/>
              </w:rPr>
            </w:pPr>
            <w:r w:rsidRPr="00CF3853">
              <w:rPr>
                <w:bCs/>
                <w:lang w:val="ro-RO"/>
              </w:rPr>
              <w:t>2.2.3. Elaborarea și dezvoltarea standardelor minime ale Sistemului de alertă timpurie pentru societățile de asigurare</w:t>
            </w:r>
          </w:p>
        </w:tc>
        <w:tc>
          <w:tcPr>
            <w:tcW w:w="330" w:type="pct"/>
          </w:tcPr>
          <w:p w:rsidR="000F4322" w:rsidRPr="00CF3853" w:rsidRDefault="000F4322" w:rsidP="001454A8">
            <w:pPr>
              <w:ind w:firstLine="0"/>
              <w:jc w:val="center"/>
              <w:rPr>
                <w:bCs/>
                <w:lang w:val="ro-RO"/>
              </w:rPr>
            </w:pPr>
            <w:r w:rsidRPr="00CF3853">
              <w:rPr>
                <w:bCs/>
                <w:lang w:val="ro-RO"/>
              </w:rPr>
              <w:t>2019</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Standardele elaborate și aprobate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bCs/>
                <w:lang w:val="ro-RO"/>
              </w:rPr>
            </w:pPr>
            <w:r w:rsidRPr="00CF3853">
              <w:rPr>
                <w:lang w:val="ro-RO" w:eastAsia="ro-RO"/>
              </w:rPr>
              <w:t>2.2.4. Elaborarea și punerea în aplicare a testelor de stres pentru evaluarea impactului riscurilor aferente activității societăților de asigurare</w:t>
            </w:r>
          </w:p>
        </w:tc>
        <w:tc>
          <w:tcPr>
            <w:tcW w:w="330" w:type="pct"/>
          </w:tcPr>
          <w:p w:rsidR="000F4322" w:rsidRPr="00CF3853" w:rsidRDefault="000F4322" w:rsidP="001454A8">
            <w:pPr>
              <w:ind w:firstLine="0"/>
              <w:jc w:val="center"/>
              <w:rPr>
                <w:bCs/>
                <w:lang w:val="ro-RO"/>
              </w:rPr>
            </w:pPr>
            <w:r w:rsidRPr="00CF3853">
              <w:rPr>
                <w:bCs/>
                <w:lang w:val="ro-RO"/>
              </w:rPr>
              <w:t>2019</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16 societăți de asigurare evaluate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lang w:val="ro-RO" w:eastAsia="ro-RO"/>
              </w:rPr>
            </w:pPr>
            <w:r w:rsidRPr="00CF3853">
              <w:rPr>
                <w:lang w:val="ro-RO" w:eastAsia="ro-RO"/>
              </w:rPr>
              <w:t>2.2.5. Revizuirea cerințelor de raportare prudențială pentru societățile de asigurare</w:t>
            </w:r>
          </w:p>
        </w:tc>
        <w:tc>
          <w:tcPr>
            <w:tcW w:w="330" w:type="pct"/>
          </w:tcPr>
          <w:p w:rsidR="000F4322" w:rsidRPr="00CF3853" w:rsidRDefault="000F4322" w:rsidP="001454A8">
            <w:pPr>
              <w:ind w:firstLine="0"/>
              <w:jc w:val="center"/>
              <w:rPr>
                <w:bCs/>
                <w:lang w:val="ro-RO"/>
              </w:rPr>
            </w:pPr>
            <w:r w:rsidRPr="00CF3853">
              <w:rPr>
                <w:bCs/>
                <w:lang w:val="ro-RO"/>
              </w:rPr>
              <w:t>2018</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Formulare de raportare aprobate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bCs/>
                <w:lang w:val="ro-RO"/>
              </w:rPr>
            </w:pPr>
            <w:r w:rsidRPr="00CF3853">
              <w:rPr>
                <w:lang w:val="ro-RO" w:eastAsia="ro-RO"/>
              </w:rPr>
              <w:t xml:space="preserve">2.2.6. </w:t>
            </w:r>
            <w:r w:rsidRPr="00CF3853">
              <w:rPr>
                <w:bCs/>
                <w:lang w:val="ro-RO"/>
              </w:rPr>
              <w:t>Organizarea instruirilor aferente implementării supravegherii bazate pe risc</w:t>
            </w:r>
          </w:p>
        </w:tc>
        <w:tc>
          <w:tcPr>
            <w:tcW w:w="330" w:type="pct"/>
          </w:tcPr>
          <w:p w:rsidR="000F4322" w:rsidRPr="00CF3853" w:rsidRDefault="000F4322" w:rsidP="001454A8">
            <w:pPr>
              <w:ind w:firstLine="0"/>
              <w:jc w:val="center"/>
              <w:rPr>
                <w:bCs/>
                <w:lang w:val="ro-RO"/>
              </w:rPr>
            </w:pPr>
            <w:r w:rsidRPr="00CF3853">
              <w:rPr>
                <w:bCs/>
                <w:lang w:val="ro-RO"/>
              </w:rPr>
              <w:t>2020</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 xml:space="preserve"> 5 instruiri organizate și desfășurate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bCs/>
                <w:lang w:val="ro-RO"/>
              </w:rPr>
            </w:pPr>
            <w:r w:rsidRPr="00CF3853">
              <w:rPr>
                <w:bCs/>
                <w:lang w:val="ro-RO"/>
              </w:rPr>
              <w:t>2.2.7. Elaborarea standardelor minime pentru supravegherea bazată pe risc pe piața de capital</w:t>
            </w:r>
          </w:p>
        </w:tc>
        <w:tc>
          <w:tcPr>
            <w:tcW w:w="330" w:type="pct"/>
          </w:tcPr>
          <w:p w:rsidR="000F4322" w:rsidRPr="00CF3853" w:rsidRDefault="000F4322" w:rsidP="001454A8">
            <w:pPr>
              <w:ind w:firstLine="0"/>
              <w:jc w:val="center"/>
              <w:rPr>
                <w:b/>
                <w:bCs/>
                <w:lang w:val="ro-RO"/>
              </w:rPr>
            </w:pPr>
            <w:r w:rsidRPr="00CF3853">
              <w:rPr>
                <w:lang w:val="ro-RO" w:eastAsia="ro-RO"/>
              </w:rPr>
              <w:t>2018</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Standarde elaborate și aprobate</w:t>
            </w:r>
          </w:p>
        </w:tc>
      </w:tr>
      <w:tr w:rsidR="000F4322" w:rsidRPr="00CF3853" w:rsidTr="004602B5">
        <w:tc>
          <w:tcPr>
            <w:tcW w:w="264" w:type="pct"/>
            <w:vMerge/>
            <w:tcBorders>
              <w:bottom w:val="nil"/>
            </w:tcBorders>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bCs/>
                <w:lang w:val="ro-RO"/>
              </w:rPr>
            </w:pPr>
          </w:p>
        </w:tc>
        <w:tc>
          <w:tcPr>
            <w:tcW w:w="1184" w:type="pct"/>
            <w:hideMark/>
          </w:tcPr>
          <w:p w:rsidR="000F4322" w:rsidRPr="00CF3853" w:rsidRDefault="000F4322" w:rsidP="001454A8">
            <w:pPr>
              <w:ind w:firstLine="0"/>
              <w:jc w:val="left"/>
              <w:rPr>
                <w:bCs/>
                <w:lang w:val="ro-RO"/>
              </w:rPr>
            </w:pPr>
            <w:r w:rsidRPr="00CF3853">
              <w:rPr>
                <w:bCs/>
                <w:lang w:val="ro-RO"/>
              </w:rPr>
              <w:t>2.2.8. Elaborarea și punerea în aplicare a testelor de stres pentru evaluarea impactului  riscurilor aferente activității societăților de investiții</w:t>
            </w:r>
          </w:p>
        </w:tc>
        <w:tc>
          <w:tcPr>
            <w:tcW w:w="330" w:type="pct"/>
          </w:tcPr>
          <w:p w:rsidR="000F4322" w:rsidRPr="00CF3853" w:rsidRDefault="000F4322" w:rsidP="001454A8">
            <w:pPr>
              <w:ind w:firstLine="0"/>
              <w:jc w:val="center"/>
              <w:rPr>
                <w:bCs/>
                <w:lang w:val="ro-RO"/>
              </w:rPr>
            </w:pPr>
            <w:r w:rsidRPr="00CF3853">
              <w:rPr>
                <w:bCs/>
                <w:lang w:val="ro-RO"/>
              </w:rPr>
              <w:t>2020</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r w:rsidRPr="00CF3853">
              <w:rPr>
                <w:bCs/>
                <w:lang w:val="ro-RO"/>
              </w:rPr>
              <w:t>asistență externă</w:t>
            </w:r>
          </w:p>
        </w:tc>
        <w:tc>
          <w:tcPr>
            <w:tcW w:w="854" w:type="pct"/>
          </w:tcPr>
          <w:p w:rsidR="000F4322" w:rsidRPr="00CF3853" w:rsidRDefault="000F4322" w:rsidP="001454A8">
            <w:pPr>
              <w:ind w:firstLine="0"/>
              <w:jc w:val="left"/>
              <w:rPr>
                <w:bCs/>
                <w:lang w:val="ro-RO"/>
              </w:rPr>
            </w:pPr>
            <w:r w:rsidRPr="00CF3853">
              <w:rPr>
                <w:bCs/>
                <w:lang w:val="ro-RO"/>
              </w:rPr>
              <w:t>Teste de stres implementate de 8 societăți de investiții</w:t>
            </w:r>
          </w:p>
        </w:tc>
      </w:tr>
      <w:tr w:rsidR="000F4322" w:rsidRPr="00CF3853" w:rsidTr="004602B5">
        <w:tc>
          <w:tcPr>
            <w:tcW w:w="264" w:type="pct"/>
            <w:vMerge w:val="restart"/>
            <w:tcBorders>
              <w:top w:val="nil"/>
              <w:bottom w:val="single" w:sz="4" w:space="0" w:color="auto"/>
            </w:tcBorders>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bCs/>
                <w:lang w:val="ro-RO"/>
              </w:rPr>
            </w:pPr>
          </w:p>
        </w:tc>
        <w:tc>
          <w:tcPr>
            <w:tcW w:w="1184" w:type="pct"/>
            <w:hideMark/>
          </w:tcPr>
          <w:p w:rsidR="000F4322" w:rsidRPr="00CF3853" w:rsidRDefault="000F4322" w:rsidP="001454A8">
            <w:pPr>
              <w:ind w:firstLine="0"/>
              <w:jc w:val="left"/>
              <w:rPr>
                <w:bCs/>
                <w:lang w:val="ro-RO"/>
              </w:rPr>
            </w:pPr>
            <w:r w:rsidRPr="00CF3853">
              <w:rPr>
                <w:bCs/>
                <w:lang w:val="ro-RO"/>
              </w:rPr>
              <w:t>2.2.9. Elaborarea indicatorilor de alertă timpurie pentru societățile de investiții</w:t>
            </w:r>
          </w:p>
        </w:tc>
        <w:tc>
          <w:tcPr>
            <w:tcW w:w="330" w:type="pct"/>
          </w:tcPr>
          <w:p w:rsidR="000F4322" w:rsidRPr="00CF3853" w:rsidRDefault="000F4322" w:rsidP="001454A8">
            <w:pPr>
              <w:ind w:firstLine="0"/>
              <w:jc w:val="center"/>
              <w:rPr>
                <w:b/>
                <w:bCs/>
                <w:lang w:val="ro-RO"/>
              </w:rPr>
            </w:pPr>
            <w:r w:rsidRPr="00CF3853">
              <w:rPr>
                <w:lang w:val="ro-RO" w:eastAsia="ro-RO"/>
              </w:rPr>
              <w:t>2022</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r w:rsidRPr="00CF3853">
              <w:rPr>
                <w:bCs/>
                <w:lang w:val="ro-RO"/>
              </w:rPr>
              <w:t>asistență externă</w:t>
            </w:r>
          </w:p>
        </w:tc>
        <w:tc>
          <w:tcPr>
            <w:tcW w:w="854" w:type="pct"/>
          </w:tcPr>
          <w:p w:rsidR="000F4322" w:rsidRPr="00CF3853" w:rsidRDefault="000F4322" w:rsidP="001454A8">
            <w:pPr>
              <w:ind w:firstLine="0"/>
              <w:jc w:val="left"/>
              <w:rPr>
                <w:bCs/>
                <w:lang w:val="ro-RO"/>
              </w:rPr>
            </w:pPr>
            <w:r w:rsidRPr="00CF3853">
              <w:rPr>
                <w:bCs/>
                <w:lang w:val="ro-RO"/>
              </w:rPr>
              <w:t>Indicatori de alertă elaborați</w:t>
            </w:r>
          </w:p>
        </w:tc>
      </w:tr>
      <w:tr w:rsidR="000F4322" w:rsidRPr="00CF3853" w:rsidTr="004602B5">
        <w:tc>
          <w:tcPr>
            <w:tcW w:w="264" w:type="pct"/>
            <w:vMerge/>
            <w:tcBorders>
              <w:bottom w:val="single" w:sz="4" w:space="0" w:color="auto"/>
            </w:tcBorders>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bCs/>
                <w:lang w:val="ro-RO"/>
              </w:rPr>
            </w:pPr>
          </w:p>
        </w:tc>
        <w:tc>
          <w:tcPr>
            <w:tcW w:w="1184" w:type="pct"/>
            <w:hideMark/>
          </w:tcPr>
          <w:p w:rsidR="000F4322" w:rsidRPr="00CF3853" w:rsidRDefault="000F4322" w:rsidP="001454A8">
            <w:pPr>
              <w:ind w:firstLine="0"/>
              <w:jc w:val="left"/>
              <w:rPr>
                <w:bCs/>
                <w:lang w:val="ro-RO"/>
              </w:rPr>
            </w:pPr>
            <w:r w:rsidRPr="00CF3853">
              <w:rPr>
                <w:bCs/>
                <w:lang w:val="ro-RO"/>
              </w:rPr>
              <w:t>2.2.10. Revizuirea cerințelor de raportare specializată de către persoanele licențiate sau autorizate pe piața de capital</w:t>
            </w:r>
          </w:p>
        </w:tc>
        <w:tc>
          <w:tcPr>
            <w:tcW w:w="330" w:type="pct"/>
          </w:tcPr>
          <w:p w:rsidR="000F4322" w:rsidRPr="00CF3853" w:rsidRDefault="000F4322" w:rsidP="001454A8">
            <w:pPr>
              <w:ind w:firstLine="0"/>
              <w:jc w:val="center"/>
              <w:rPr>
                <w:b/>
                <w:bCs/>
                <w:lang w:val="ro-RO"/>
              </w:rPr>
            </w:pPr>
            <w:r w:rsidRPr="00CF3853">
              <w:rPr>
                <w:lang w:val="ro-RO" w:eastAsia="ro-RO"/>
              </w:rPr>
              <w:t>2022</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Instrucțiune revizuită și aprobată</w:t>
            </w:r>
          </w:p>
        </w:tc>
      </w:tr>
      <w:tr w:rsidR="000F4322" w:rsidRPr="00CF3853" w:rsidTr="004602B5">
        <w:tc>
          <w:tcPr>
            <w:tcW w:w="264" w:type="pct"/>
            <w:vMerge/>
            <w:tcBorders>
              <w:bottom w:val="single" w:sz="4" w:space="0" w:color="auto"/>
            </w:tcBorders>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bCs/>
                <w:u w:val="single"/>
                <w:lang w:val="ro-RO"/>
              </w:rPr>
            </w:pPr>
            <w:r w:rsidRPr="00CF3853">
              <w:rPr>
                <w:bCs/>
                <w:lang w:val="ro-RO"/>
              </w:rPr>
              <w:t xml:space="preserve">2.2.11. </w:t>
            </w:r>
            <w:r w:rsidRPr="00CF3853">
              <w:rPr>
                <w:lang w:val="ro-RO"/>
              </w:rPr>
              <w:t xml:space="preserve">Elaborarea standardelor minime pentru sistemul de alertă timpurie pentru </w:t>
            </w:r>
            <w:r w:rsidRPr="00CF3853">
              <w:rPr>
                <w:bCs/>
                <w:lang w:val="ro-RO"/>
              </w:rPr>
              <w:t xml:space="preserve">AEÎ </w:t>
            </w:r>
            <w:r w:rsidRPr="00CF3853">
              <w:rPr>
                <w:lang w:val="ro-RO"/>
              </w:rPr>
              <w:t>și organizațiile de creditare nebancară</w:t>
            </w:r>
          </w:p>
        </w:tc>
        <w:tc>
          <w:tcPr>
            <w:tcW w:w="330" w:type="pct"/>
          </w:tcPr>
          <w:p w:rsidR="000F4322" w:rsidRPr="00CF3853" w:rsidRDefault="000F4322" w:rsidP="001454A8">
            <w:pPr>
              <w:ind w:firstLine="0"/>
              <w:jc w:val="center"/>
              <w:rPr>
                <w:bCs/>
                <w:lang w:val="ro-RO"/>
              </w:rPr>
            </w:pPr>
            <w:r w:rsidRPr="00CF3853">
              <w:rPr>
                <w:bCs/>
                <w:lang w:val="ro-RO"/>
              </w:rPr>
              <w:t>2020</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1454A8" w:rsidRPr="00CF3853" w:rsidRDefault="000F4322" w:rsidP="001454A8">
            <w:pPr>
              <w:ind w:firstLine="0"/>
              <w:jc w:val="left"/>
              <w:rPr>
                <w:bCs/>
                <w:lang w:val="ro-RO"/>
              </w:rPr>
            </w:pPr>
            <w:r w:rsidRPr="00CF3853">
              <w:rPr>
                <w:bCs/>
                <w:lang w:val="ro-RO"/>
              </w:rPr>
              <w:t xml:space="preserve">În limita bugetului CNPF; </w:t>
            </w:r>
          </w:p>
          <w:p w:rsidR="000F4322" w:rsidRPr="00CF3853" w:rsidRDefault="000F4322" w:rsidP="001454A8">
            <w:pPr>
              <w:ind w:firstLine="0"/>
              <w:jc w:val="left"/>
              <w:rPr>
                <w:bCs/>
                <w:lang w:val="ro-RO"/>
              </w:rPr>
            </w:pPr>
            <w:r w:rsidRPr="00CF3853">
              <w:rPr>
                <w:bCs/>
                <w:lang w:val="ro-RO"/>
              </w:rPr>
              <w:t>asistență tehnică</w:t>
            </w:r>
          </w:p>
        </w:tc>
        <w:tc>
          <w:tcPr>
            <w:tcW w:w="854" w:type="pct"/>
          </w:tcPr>
          <w:p w:rsidR="000F4322" w:rsidRPr="00CF3853" w:rsidRDefault="000F4322" w:rsidP="001454A8">
            <w:pPr>
              <w:ind w:firstLine="0"/>
              <w:jc w:val="left"/>
              <w:rPr>
                <w:bCs/>
                <w:lang w:val="ro-RO"/>
              </w:rPr>
            </w:pPr>
            <w:r w:rsidRPr="00CF3853">
              <w:rPr>
                <w:bCs/>
                <w:lang w:val="ro-RO"/>
              </w:rPr>
              <w:t xml:space="preserve">Indicatori de alertă </w:t>
            </w:r>
            <w:proofErr w:type="spellStart"/>
            <w:r w:rsidRPr="00CF3853">
              <w:rPr>
                <w:bCs/>
                <w:lang w:val="ro-RO"/>
              </w:rPr>
              <w:t>elaboraţi</w:t>
            </w:r>
            <w:proofErr w:type="spellEnd"/>
          </w:p>
        </w:tc>
      </w:tr>
      <w:tr w:rsidR="000F4322" w:rsidRPr="00CF3853" w:rsidTr="004602B5">
        <w:tc>
          <w:tcPr>
            <w:tcW w:w="264" w:type="pct"/>
            <w:vMerge/>
            <w:tcBorders>
              <w:bottom w:val="single" w:sz="4" w:space="0" w:color="auto"/>
            </w:tcBorders>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bCs/>
                <w:lang w:val="ro-RO"/>
              </w:rPr>
            </w:pPr>
            <w:r w:rsidRPr="00CF3853">
              <w:rPr>
                <w:bCs/>
                <w:lang w:val="ro-RO"/>
              </w:rPr>
              <w:t xml:space="preserve">2.2.12. Elaborarea și punerea în aplicare a cerințelor privind constituirea provizioanelor și criteriile de clasificare a creanțelor pentru acoperirea pierderilor din creditele nebancare și </w:t>
            </w:r>
            <w:proofErr w:type="spellStart"/>
            <w:r w:rsidRPr="00CF3853">
              <w:rPr>
                <w:bCs/>
                <w:lang w:val="ro-RO"/>
              </w:rPr>
              <w:t>dobînzile</w:t>
            </w:r>
            <w:proofErr w:type="spellEnd"/>
            <w:r w:rsidRPr="00CF3853">
              <w:rPr>
                <w:bCs/>
                <w:lang w:val="ro-RO"/>
              </w:rPr>
              <w:t xml:space="preserve"> aferente și pentru acoperirea creanțelor ce țin de nerecuperarea ratelor și a </w:t>
            </w:r>
            <w:proofErr w:type="spellStart"/>
            <w:r w:rsidRPr="00CF3853">
              <w:rPr>
                <w:bCs/>
                <w:lang w:val="ro-RO"/>
              </w:rPr>
              <w:t>dobînzilor</w:t>
            </w:r>
            <w:proofErr w:type="spellEnd"/>
            <w:r w:rsidRPr="00CF3853">
              <w:rPr>
                <w:bCs/>
                <w:lang w:val="ro-RO"/>
              </w:rPr>
              <w:t xml:space="preserve"> de leasing</w:t>
            </w:r>
          </w:p>
        </w:tc>
        <w:tc>
          <w:tcPr>
            <w:tcW w:w="330" w:type="pct"/>
          </w:tcPr>
          <w:p w:rsidR="000F4322" w:rsidRPr="00CF3853" w:rsidRDefault="000F4322" w:rsidP="001454A8">
            <w:pPr>
              <w:ind w:firstLine="0"/>
              <w:jc w:val="center"/>
              <w:rPr>
                <w:bCs/>
                <w:lang w:val="ro-RO"/>
              </w:rPr>
            </w:pPr>
            <w:r w:rsidRPr="00CF3853">
              <w:rPr>
                <w:lang w:val="ro-RO" w:eastAsia="ro-RO"/>
              </w:rPr>
              <w:t>2020</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Regulament  elaborat, aprobat și pus în aplicare</w:t>
            </w:r>
          </w:p>
        </w:tc>
      </w:tr>
      <w:tr w:rsidR="000F4322" w:rsidRPr="00CF3853" w:rsidTr="004602B5">
        <w:tc>
          <w:tcPr>
            <w:tcW w:w="264" w:type="pct"/>
            <w:vMerge w:val="restart"/>
            <w:tcBorders>
              <w:top w:val="single" w:sz="4" w:space="0" w:color="auto"/>
            </w:tcBorders>
            <w:hideMark/>
          </w:tcPr>
          <w:p w:rsidR="000F4322" w:rsidRPr="00CF3853" w:rsidRDefault="000F4322" w:rsidP="001454A8">
            <w:pPr>
              <w:ind w:firstLine="0"/>
              <w:jc w:val="center"/>
              <w:rPr>
                <w:b/>
                <w:bCs/>
                <w:lang w:val="ro-RO"/>
              </w:rPr>
            </w:pPr>
            <w:r w:rsidRPr="00CF3853">
              <w:rPr>
                <w:b/>
                <w:bCs/>
                <w:lang w:val="ro-RO"/>
              </w:rPr>
              <w:t>2.3</w:t>
            </w:r>
          </w:p>
        </w:tc>
        <w:tc>
          <w:tcPr>
            <w:tcW w:w="855" w:type="pct"/>
            <w:vMerge w:val="restart"/>
            <w:hideMark/>
          </w:tcPr>
          <w:p w:rsidR="000F4322" w:rsidRPr="00CF3853" w:rsidRDefault="000F4322" w:rsidP="001454A8">
            <w:pPr>
              <w:ind w:firstLine="0"/>
              <w:jc w:val="left"/>
              <w:rPr>
                <w:bCs/>
                <w:lang w:val="ro-RO"/>
              </w:rPr>
            </w:pPr>
            <w:r w:rsidRPr="00CF3853">
              <w:rPr>
                <w:bCs/>
                <w:lang w:val="ro-RO"/>
              </w:rPr>
              <w:t xml:space="preserve">Asigurarea unei tranziții eficiente la regimul Solvabilitate II </w:t>
            </w:r>
          </w:p>
        </w:tc>
        <w:tc>
          <w:tcPr>
            <w:tcW w:w="1184" w:type="pct"/>
            <w:hideMark/>
          </w:tcPr>
          <w:p w:rsidR="000F4322" w:rsidRPr="00CF3853" w:rsidRDefault="000F4322" w:rsidP="001454A8">
            <w:pPr>
              <w:ind w:firstLine="0"/>
              <w:jc w:val="left"/>
              <w:rPr>
                <w:bCs/>
                <w:lang w:val="ro-RO"/>
              </w:rPr>
            </w:pPr>
            <w:r w:rsidRPr="00CF3853">
              <w:rPr>
                <w:bCs/>
                <w:lang w:val="ro-RO"/>
              </w:rPr>
              <w:t>2.3.1. Elaborarea planurilor individuale de tranziție la regimul Solvabilitate II</w:t>
            </w:r>
          </w:p>
        </w:tc>
        <w:tc>
          <w:tcPr>
            <w:tcW w:w="330" w:type="pct"/>
          </w:tcPr>
          <w:p w:rsidR="000F4322" w:rsidRPr="00CF3853" w:rsidRDefault="000F4322" w:rsidP="001454A8">
            <w:pPr>
              <w:ind w:firstLine="0"/>
              <w:jc w:val="center"/>
              <w:rPr>
                <w:lang w:val="ro-RO" w:eastAsia="ro-RO"/>
              </w:rPr>
            </w:pPr>
            <w:r w:rsidRPr="00CF3853">
              <w:rPr>
                <w:lang w:val="ro-RO" w:eastAsia="ro-RO"/>
              </w:rPr>
              <w:t>2019</w:t>
            </w:r>
          </w:p>
        </w:tc>
        <w:tc>
          <w:tcPr>
            <w:tcW w:w="790" w:type="pct"/>
            <w:hideMark/>
          </w:tcPr>
          <w:p w:rsidR="000F4322" w:rsidRPr="00CF3853" w:rsidRDefault="000F4322" w:rsidP="001454A8">
            <w:pPr>
              <w:ind w:firstLine="0"/>
              <w:jc w:val="left"/>
              <w:rPr>
                <w:bCs/>
                <w:lang w:val="ro-RO"/>
              </w:rPr>
            </w:pPr>
            <w:r w:rsidRPr="00CF3853">
              <w:rPr>
                <w:bCs/>
                <w:lang w:val="ro-RO"/>
              </w:rPr>
              <w:t>Comisia Națională a Pieței Financiare</w:t>
            </w:r>
            <w:r w:rsidR="002E3BD2" w:rsidRPr="00CF3853">
              <w:rPr>
                <w:bCs/>
                <w:lang w:val="ro-RO"/>
              </w:rPr>
              <w:t>;</w:t>
            </w:r>
          </w:p>
          <w:p w:rsidR="000F4322" w:rsidRPr="00CF3853" w:rsidRDefault="000F4322" w:rsidP="001454A8">
            <w:pPr>
              <w:ind w:firstLine="0"/>
              <w:jc w:val="left"/>
              <w:rPr>
                <w:lang w:val="ro-RO"/>
              </w:rPr>
            </w:pPr>
            <w:r w:rsidRPr="00CF3853">
              <w:rPr>
                <w:bCs/>
                <w:lang w:val="ro-RO"/>
              </w:rPr>
              <w:t>societățile de asigurare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Planuri elaborate de societățile de asigurare și prezentate CNPF</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bCs/>
                <w:lang w:val="ro-RO"/>
              </w:rPr>
            </w:pPr>
          </w:p>
        </w:tc>
        <w:tc>
          <w:tcPr>
            <w:tcW w:w="1184" w:type="pct"/>
            <w:hideMark/>
          </w:tcPr>
          <w:p w:rsidR="000F4322" w:rsidRPr="00CF3853" w:rsidRDefault="000F4322" w:rsidP="001454A8">
            <w:pPr>
              <w:ind w:firstLine="0"/>
              <w:jc w:val="left"/>
              <w:rPr>
                <w:bCs/>
                <w:lang w:val="ro-RO"/>
              </w:rPr>
            </w:pPr>
            <w:r w:rsidRPr="00CF3853">
              <w:rPr>
                <w:bCs/>
                <w:lang w:val="ro-RO"/>
              </w:rPr>
              <w:t>2.3.2. Elaborarea metodologiilor necesare de calcul al rezervelor tehnice și al capitalului de solvabilitate</w:t>
            </w:r>
          </w:p>
        </w:tc>
        <w:tc>
          <w:tcPr>
            <w:tcW w:w="330" w:type="pct"/>
          </w:tcPr>
          <w:p w:rsidR="000F4322" w:rsidRPr="00CF3853" w:rsidRDefault="000F4322" w:rsidP="001454A8">
            <w:pPr>
              <w:ind w:firstLine="0"/>
              <w:jc w:val="center"/>
              <w:rPr>
                <w:lang w:val="ro-RO" w:eastAsia="ro-RO"/>
              </w:rPr>
            </w:pPr>
            <w:r w:rsidRPr="00CF3853">
              <w:rPr>
                <w:lang w:val="ro-RO" w:eastAsia="ro-RO"/>
              </w:rPr>
              <w:t>2019</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2 metodologii elaborate și aprobate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bCs/>
                <w:lang w:val="ro-RO"/>
              </w:rPr>
            </w:pPr>
          </w:p>
        </w:tc>
        <w:tc>
          <w:tcPr>
            <w:tcW w:w="1184" w:type="pct"/>
            <w:hideMark/>
          </w:tcPr>
          <w:p w:rsidR="000F4322" w:rsidRPr="00CF3853" w:rsidRDefault="000F4322" w:rsidP="001454A8">
            <w:pPr>
              <w:ind w:firstLine="0"/>
              <w:jc w:val="left"/>
              <w:rPr>
                <w:bCs/>
                <w:lang w:val="ro-RO"/>
              </w:rPr>
            </w:pPr>
            <w:r w:rsidRPr="00CF3853">
              <w:rPr>
                <w:bCs/>
                <w:lang w:val="ro-RO"/>
              </w:rPr>
              <w:t>2.3.3. Desfășurarea procedurii de autoevaluare a riscului și a solvabilității în cadrul societăților de asigurare</w:t>
            </w:r>
          </w:p>
        </w:tc>
        <w:tc>
          <w:tcPr>
            <w:tcW w:w="330" w:type="pct"/>
          </w:tcPr>
          <w:p w:rsidR="000F4322" w:rsidRPr="00CF3853" w:rsidRDefault="000F4322" w:rsidP="001454A8">
            <w:pPr>
              <w:ind w:firstLine="0"/>
              <w:jc w:val="center"/>
              <w:rPr>
                <w:lang w:val="ro-RO" w:eastAsia="ro-RO"/>
              </w:rPr>
            </w:pPr>
            <w:r w:rsidRPr="00CF3853">
              <w:rPr>
                <w:lang w:val="ro-RO" w:eastAsia="ro-RO"/>
              </w:rPr>
              <w:t>2019</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4602B5" w:rsidRPr="00CF3853" w:rsidRDefault="000F4322" w:rsidP="001454A8">
            <w:pPr>
              <w:ind w:firstLine="0"/>
              <w:jc w:val="left"/>
              <w:rPr>
                <w:bCs/>
                <w:lang w:val="ro-RO"/>
              </w:rPr>
            </w:pPr>
            <w:r w:rsidRPr="00CF3853">
              <w:rPr>
                <w:bCs/>
                <w:lang w:val="ro-RO"/>
              </w:rPr>
              <w:t xml:space="preserve">Procedura de autoevaluare desfășurată în cadrul a             </w:t>
            </w:r>
          </w:p>
          <w:p w:rsidR="000F4322" w:rsidRPr="00CF3853" w:rsidRDefault="000F4322" w:rsidP="001454A8">
            <w:pPr>
              <w:ind w:firstLine="0"/>
              <w:jc w:val="left"/>
              <w:rPr>
                <w:bCs/>
                <w:lang w:val="ro-RO"/>
              </w:rPr>
            </w:pPr>
            <w:r w:rsidRPr="00CF3853">
              <w:rPr>
                <w:bCs/>
                <w:lang w:val="ro-RO"/>
              </w:rPr>
              <w:t>16 societăți de asigurare</w:t>
            </w:r>
          </w:p>
        </w:tc>
      </w:tr>
      <w:tr w:rsidR="000F4322" w:rsidRPr="00CF3853" w:rsidTr="001454A8">
        <w:trPr>
          <w:trHeight w:val="838"/>
        </w:trPr>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bCs/>
                <w:lang w:val="ro-RO"/>
              </w:rPr>
            </w:pPr>
          </w:p>
        </w:tc>
        <w:tc>
          <w:tcPr>
            <w:tcW w:w="1184" w:type="pct"/>
            <w:hideMark/>
          </w:tcPr>
          <w:p w:rsidR="000F4322" w:rsidRPr="00CF3853" w:rsidRDefault="000F4322" w:rsidP="001454A8">
            <w:pPr>
              <w:ind w:firstLine="0"/>
              <w:jc w:val="left"/>
              <w:rPr>
                <w:bCs/>
                <w:lang w:val="ro-RO"/>
              </w:rPr>
            </w:pPr>
            <w:r w:rsidRPr="00CF3853">
              <w:rPr>
                <w:bCs/>
                <w:lang w:val="ro-RO"/>
              </w:rPr>
              <w:t>2.3.4. Elaborarea  cadrului normativ privind racordarea guvernanței corporative a societăților de asigurare la regimul Solvabilitate II</w:t>
            </w:r>
          </w:p>
        </w:tc>
        <w:tc>
          <w:tcPr>
            <w:tcW w:w="330" w:type="pct"/>
          </w:tcPr>
          <w:p w:rsidR="000F4322" w:rsidRPr="00CF3853" w:rsidRDefault="000F4322" w:rsidP="001454A8">
            <w:pPr>
              <w:ind w:firstLine="0"/>
              <w:jc w:val="center"/>
              <w:rPr>
                <w:lang w:val="ro-RO" w:eastAsia="ro-RO"/>
              </w:rPr>
            </w:pPr>
            <w:r w:rsidRPr="00CF3853">
              <w:rPr>
                <w:lang w:val="ro-RO" w:eastAsia="ro-RO"/>
              </w:rPr>
              <w:t>2020</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Regulament elaborat și aprobat</w:t>
            </w:r>
          </w:p>
        </w:tc>
      </w:tr>
      <w:tr w:rsidR="000F4322" w:rsidRPr="00CF3853" w:rsidTr="001454A8">
        <w:tc>
          <w:tcPr>
            <w:tcW w:w="5000" w:type="pct"/>
            <w:gridSpan w:val="7"/>
            <w:hideMark/>
          </w:tcPr>
          <w:p w:rsidR="000F4322" w:rsidRPr="00CF3853" w:rsidRDefault="000F4322" w:rsidP="001454A8">
            <w:pPr>
              <w:ind w:firstLine="0"/>
              <w:jc w:val="center"/>
              <w:rPr>
                <w:b/>
                <w:bCs/>
                <w:lang w:val="ro-RO"/>
              </w:rPr>
            </w:pPr>
            <w:r w:rsidRPr="00CF3853">
              <w:rPr>
                <w:b/>
                <w:bCs/>
                <w:lang w:val="ro-RO"/>
              </w:rPr>
              <w:t>3.  Îmbunătățirea conduitei de piață și creșterea încrederii consumatorului</w:t>
            </w:r>
          </w:p>
        </w:tc>
      </w:tr>
      <w:tr w:rsidR="000F4322" w:rsidRPr="00CF3853" w:rsidTr="001454A8">
        <w:trPr>
          <w:trHeight w:val="2220"/>
        </w:trPr>
        <w:tc>
          <w:tcPr>
            <w:tcW w:w="264" w:type="pct"/>
            <w:hideMark/>
          </w:tcPr>
          <w:p w:rsidR="000F4322" w:rsidRPr="00CF3853" w:rsidRDefault="000F4322" w:rsidP="001454A8">
            <w:pPr>
              <w:ind w:firstLine="0"/>
              <w:jc w:val="center"/>
              <w:rPr>
                <w:b/>
                <w:bCs/>
                <w:lang w:val="ro-RO"/>
              </w:rPr>
            </w:pPr>
            <w:r w:rsidRPr="00CF3853">
              <w:rPr>
                <w:b/>
                <w:bCs/>
                <w:lang w:val="ro-RO"/>
              </w:rPr>
              <w:t>3.1</w:t>
            </w:r>
          </w:p>
        </w:tc>
        <w:tc>
          <w:tcPr>
            <w:tcW w:w="855" w:type="pct"/>
            <w:hideMark/>
          </w:tcPr>
          <w:p w:rsidR="000F4322" w:rsidRPr="00CF3853" w:rsidRDefault="000F4322" w:rsidP="001454A8">
            <w:pPr>
              <w:ind w:firstLine="0"/>
              <w:jc w:val="left"/>
              <w:rPr>
                <w:lang w:val="ro-RO"/>
              </w:rPr>
            </w:pPr>
            <w:r w:rsidRPr="00CF3853">
              <w:rPr>
                <w:bCs/>
                <w:lang w:val="ro-RO"/>
              </w:rPr>
              <w:t>Identificarea conflictelor de interese între prestatorii de servicii și consumatorii de produse și  servicii financiare nebancare</w:t>
            </w:r>
          </w:p>
        </w:tc>
        <w:tc>
          <w:tcPr>
            <w:tcW w:w="1184" w:type="pct"/>
            <w:hideMark/>
          </w:tcPr>
          <w:p w:rsidR="000F4322" w:rsidRPr="00CF3853" w:rsidRDefault="000F4322" w:rsidP="001454A8">
            <w:pPr>
              <w:ind w:firstLine="0"/>
              <w:jc w:val="left"/>
              <w:rPr>
                <w:bCs/>
                <w:lang w:val="ro-RO"/>
              </w:rPr>
            </w:pPr>
            <w:r w:rsidRPr="00CF3853">
              <w:rPr>
                <w:bCs/>
                <w:lang w:val="ro-RO"/>
              </w:rPr>
              <w:t>3.1.1. Elaborarea modelului de declarație privind conflictul de interese între prestatorii de servicii și consumatorii de produse și servicii financiare nebancare</w:t>
            </w:r>
          </w:p>
          <w:p w:rsidR="000F4322" w:rsidRPr="00CF3853" w:rsidRDefault="000F4322" w:rsidP="001454A8">
            <w:pPr>
              <w:ind w:firstLine="0"/>
              <w:jc w:val="left"/>
              <w:rPr>
                <w:bCs/>
                <w:lang w:val="ro-RO"/>
              </w:rPr>
            </w:pPr>
          </w:p>
          <w:p w:rsidR="000F4322" w:rsidRPr="00CF3853" w:rsidRDefault="000F4322" w:rsidP="001454A8">
            <w:pPr>
              <w:ind w:firstLine="0"/>
              <w:jc w:val="left"/>
              <w:rPr>
                <w:bCs/>
                <w:u w:val="single"/>
                <w:lang w:val="ro-RO"/>
              </w:rPr>
            </w:pPr>
          </w:p>
        </w:tc>
        <w:tc>
          <w:tcPr>
            <w:tcW w:w="330" w:type="pct"/>
          </w:tcPr>
          <w:p w:rsidR="000F4322" w:rsidRPr="00CF3853" w:rsidRDefault="000F4322" w:rsidP="001454A8">
            <w:pPr>
              <w:ind w:firstLine="0"/>
              <w:jc w:val="center"/>
              <w:rPr>
                <w:bCs/>
                <w:lang w:val="ro-RO"/>
              </w:rPr>
            </w:pPr>
            <w:r w:rsidRPr="00CF3853">
              <w:rPr>
                <w:bCs/>
                <w:lang w:val="ro-RO"/>
              </w:rPr>
              <w:t>2019</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4602B5" w:rsidRPr="00CF3853" w:rsidRDefault="000F4322" w:rsidP="001454A8">
            <w:pPr>
              <w:ind w:firstLine="0"/>
              <w:jc w:val="left"/>
              <w:rPr>
                <w:bCs/>
                <w:lang w:val="ro-RO"/>
              </w:rPr>
            </w:pPr>
            <w:r w:rsidRPr="00CF3853">
              <w:rPr>
                <w:bCs/>
                <w:lang w:val="ro-RO"/>
              </w:rPr>
              <w:t xml:space="preserve">Rata de identificare a conflictelor de interese majorată </w:t>
            </w:r>
          </w:p>
          <w:p w:rsidR="000F4322" w:rsidRPr="00CF3853" w:rsidRDefault="000F4322" w:rsidP="001454A8">
            <w:pPr>
              <w:ind w:firstLine="0"/>
              <w:jc w:val="left"/>
              <w:rPr>
                <w:bCs/>
                <w:lang w:val="ro-RO"/>
              </w:rPr>
            </w:pPr>
            <w:r w:rsidRPr="00CF3853">
              <w:rPr>
                <w:bCs/>
                <w:lang w:val="ro-RO"/>
              </w:rPr>
              <w:t>cu 10%</w:t>
            </w:r>
          </w:p>
        </w:tc>
      </w:tr>
      <w:tr w:rsidR="000F4322" w:rsidRPr="00CF3853" w:rsidTr="001454A8">
        <w:tc>
          <w:tcPr>
            <w:tcW w:w="264" w:type="pct"/>
            <w:vMerge w:val="restart"/>
            <w:hideMark/>
          </w:tcPr>
          <w:p w:rsidR="000F4322" w:rsidRPr="00CF3853" w:rsidRDefault="000F4322" w:rsidP="001454A8">
            <w:pPr>
              <w:ind w:firstLine="0"/>
              <w:jc w:val="center"/>
              <w:rPr>
                <w:b/>
                <w:bCs/>
                <w:lang w:val="ro-RO"/>
              </w:rPr>
            </w:pPr>
            <w:r w:rsidRPr="00CF3853">
              <w:rPr>
                <w:b/>
                <w:bCs/>
                <w:lang w:val="ro-RO"/>
              </w:rPr>
              <w:t>3.2</w:t>
            </w:r>
          </w:p>
        </w:tc>
        <w:tc>
          <w:tcPr>
            <w:tcW w:w="855" w:type="pct"/>
            <w:vMerge w:val="restart"/>
            <w:hideMark/>
          </w:tcPr>
          <w:p w:rsidR="000F4322" w:rsidRPr="00CF3853" w:rsidRDefault="000F4322" w:rsidP="001454A8">
            <w:pPr>
              <w:ind w:firstLine="0"/>
              <w:jc w:val="left"/>
              <w:rPr>
                <w:lang w:val="ro-RO"/>
              </w:rPr>
            </w:pPr>
            <w:r w:rsidRPr="00CF3853">
              <w:rPr>
                <w:bCs/>
                <w:lang w:val="ro-RO"/>
              </w:rPr>
              <w:t>Dezvoltarea unui mecanism eficient de comunicare cu publicul și cu alte părți interesate</w:t>
            </w:r>
            <w:r w:rsidRPr="00CF3853">
              <w:rPr>
                <w:lang w:val="ro-RO"/>
              </w:rPr>
              <w:t xml:space="preserve"> în vederea protecției investitorilor și a consumatorilor de produse și servicii financiare nebancare</w:t>
            </w:r>
          </w:p>
        </w:tc>
        <w:tc>
          <w:tcPr>
            <w:tcW w:w="1184" w:type="pct"/>
            <w:hideMark/>
          </w:tcPr>
          <w:p w:rsidR="000F4322" w:rsidRPr="00CF3853" w:rsidRDefault="000F4322" w:rsidP="001454A8">
            <w:pPr>
              <w:ind w:firstLine="0"/>
              <w:jc w:val="left"/>
              <w:rPr>
                <w:bCs/>
                <w:lang w:val="ro-RO"/>
              </w:rPr>
            </w:pPr>
            <w:r w:rsidRPr="00CF3853">
              <w:rPr>
                <w:bCs/>
                <w:lang w:val="ro-RO"/>
              </w:rPr>
              <w:t xml:space="preserve">3.2.1. Dezvoltarea mecanismelor de  </w:t>
            </w:r>
            <w:proofErr w:type="spellStart"/>
            <w:r w:rsidRPr="00CF3853">
              <w:rPr>
                <w:bCs/>
                <w:lang w:val="ro-RO"/>
              </w:rPr>
              <w:t>interacţionare</w:t>
            </w:r>
            <w:proofErr w:type="spellEnd"/>
            <w:r w:rsidRPr="00CF3853">
              <w:rPr>
                <w:bCs/>
                <w:lang w:val="ro-RO"/>
              </w:rPr>
              <w:t xml:space="preserve"> cu </w:t>
            </w:r>
            <w:proofErr w:type="spellStart"/>
            <w:r w:rsidRPr="00CF3853">
              <w:rPr>
                <w:bCs/>
                <w:lang w:val="ro-RO"/>
              </w:rPr>
              <w:t>şi</w:t>
            </w:r>
            <w:proofErr w:type="spellEnd"/>
            <w:r w:rsidRPr="00CF3853">
              <w:rPr>
                <w:bCs/>
                <w:lang w:val="ro-RO"/>
              </w:rPr>
              <w:t xml:space="preserve"> protecție a consumatorului de </w:t>
            </w:r>
            <w:r w:rsidRPr="00CF3853">
              <w:rPr>
                <w:lang w:val="ro-RO"/>
              </w:rPr>
              <w:t>produse și servicii financiare nebancare</w:t>
            </w:r>
          </w:p>
        </w:tc>
        <w:tc>
          <w:tcPr>
            <w:tcW w:w="330" w:type="pct"/>
          </w:tcPr>
          <w:p w:rsidR="000F4322" w:rsidRPr="00CF3853" w:rsidRDefault="000F4322" w:rsidP="001454A8">
            <w:pPr>
              <w:ind w:firstLine="0"/>
              <w:jc w:val="center"/>
              <w:rPr>
                <w:lang w:val="ro-RO" w:eastAsia="ro-RO"/>
              </w:rPr>
            </w:pPr>
            <w:r w:rsidRPr="00CF3853">
              <w:rPr>
                <w:lang w:val="ro-RO" w:eastAsia="ro-RO"/>
              </w:rPr>
              <w:t>2021</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7C5A6D" w:rsidRDefault="000F4322" w:rsidP="001454A8">
            <w:pPr>
              <w:ind w:firstLine="0"/>
              <w:jc w:val="left"/>
              <w:rPr>
                <w:bCs/>
                <w:lang w:val="ro-RO"/>
              </w:rPr>
            </w:pPr>
            <w:r w:rsidRPr="00CF3853">
              <w:rPr>
                <w:bCs/>
                <w:lang w:val="ro-RO"/>
              </w:rPr>
              <w:t xml:space="preserve">În limita bugetului CNPF; </w:t>
            </w:r>
          </w:p>
          <w:p w:rsidR="000F4322" w:rsidRPr="00CF3853" w:rsidRDefault="000F4322" w:rsidP="001454A8">
            <w:pPr>
              <w:ind w:firstLine="0"/>
              <w:jc w:val="left"/>
              <w:rPr>
                <w:bCs/>
                <w:lang w:val="ro-RO"/>
              </w:rPr>
            </w:pPr>
            <w:r w:rsidRPr="00CF3853">
              <w:rPr>
                <w:bCs/>
                <w:lang w:val="ro-RO"/>
              </w:rPr>
              <w:t>asistență externă</w:t>
            </w:r>
          </w:p>
        </w:tc>
        <w:tc>
          <w:tcPr>
            <w:tcW w:w="854" w:type="pct"/>
          </w:tcPr>
          <w:p w:rsidR="000F4322" w:rsidRPr="00CF3853" w:rsidRDefault="000F4322" w:rsidP="001454A8">
            <w:pPr>
              <w:ind w:firstLine="0"/>
              <w:jc w:val="left"/>
              <w:rPr>
                <w:bCs/>
                <w:lang w:val="ro-RO"/>
              </w:rPr>
            </w:pPr>
            <w:r w:rsidRPr="00CF3853">
              <w:rPr>
                <w:bCs/>
                <w:lang w:val="ro-RO"/>
              </w:rPr>
              <w:t>Numărul de campanii de informare organizate;</w:t>
            </w:r>
          </w:p>
          <w:p w:rsidR="000F4322" w:rsidRPr="00CF3853" w:rsidRDefault="000F4322" w:rsidP="001454A8">
            <w:pPr>
              <w:ind w:firstLine="0"/>
              <w:jc w:val="left"/>
              <w:rPr>
                <w:bCs/>
                <w:lang w:val="ro-RO"/>
              </w:rPr>
            </w:pPr>
            <w:r w:rsidRPr="00CF3853">
              <w:rPr>
                <w:bCs/>
                <w:lang w:val="ro-RO"/>
              </w:rPr>
              <w:t>numărul de mesaje educaționale și de protecție a intereselor</w:t>
            </w:r>
          </w:p>
          <w:p w:rsidR="000F4322" w:rsidRPr="00CF3853" w:rsidRDefault="000F4322" w:rsidP="001454A8">
            <w:pPr>
              <w:ind w:firstLine="0"/>
              <w:jc w:val="left"/>
              <w:rPr>
                <w:bCs/>
                <w:lang w:val="ro-RO"/>
              </w:rPr>
            </w:pPr>
            <w:r w:rsidRPr="00CF3853">
              <w:rPr>
                <w:bCs/>
                <w:lang w:val="ro-RO"/>
              </w:rPr>
              <w:t>consumatorilor</w:t>
            </w:r>
          </w:p>
          <w:p w:rsidR="000F4322" w:rsidRPr="00CF3853" w:rsidRDefault="000F4322" w:rsidP="001454A8">
            <w:pPr>
              <w:ind w:firstLine="0"/>
              <w:jc w:val="left"/>
              <w:rPr>
                <w:bCs/>
                <w:u w:val="single"/>
                <w:lang w:val="ro-RO"/>
              </w:rPr>
            </w:pPr>
            <w:r w:rsidRPr="00CF3853">
              <w:rPr>
                <w:bCs/>
                <w:lang w:val="ro-RO"/>
              </w:rPr>
              <w:t>plasate pe pagina web oficială a CNPF</w:t>
            </w:r>
          </w:p>
        </w:tc>
      </w:tr>
      <w:tr w:rsidR="000F4322" w:rsidRPr="00CF3853" w:rsidTr="001454A8">
        <w:trPr>
          <w:trHeight w:val="827"/>
        </w:trPr>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rPr>
                <w:lang w:val="ro-RO"/>
              </w:rPr>
            </w:pPr>
          </w:p>
        </w:tc>
        <w:tc>
          <w:tcPr>
            <w:tcW w:w="1184" w:type="pct"/>
            <w:hideMark/>
          </w:tcPr>
          <w:p w:rsidR="000F4322" w:rsidRPr="00CF3853" w:rsidRDefault="000F4322" w:rsidP="001454A8">
            <w:pPr>
              <w:ind w:firstLine="0"/>
              <w:jc w:val="left"/>
              <w:rPr>
                <w:bCs/>
                <w:lang w:val="ro-RO"/>
              </w:rPr>
            </w:pPr>
            <w:r w:rsidRPr="00CF3853">
              <w:rPr>
                <w:bCs/>
                <w:lang w:val="ro-RO"/>
              </w:rPr>
              <w:t>3.2.2. Revizuirea legislației în domeniul pieței de capital  privind fondul de compensare a investitorilor</w:t>
            </w:r>
          </w:p>
        </w:tc>
        <w:tc>
          <w:tcPr>
            <w:tcW w:w="330" w:type="pct"/>
          </w:tcPr>
          <w:p w:rsidR="000F4322" w:rsidRPr="00CF3853" w:rsidRDefault="000F4322" w:rsidP="001454A8">
            <w:pPr>
              <w:ind w:firstLine="0"/>
              <w:jc w:val="center"/>
              <w:rPr>
                <w:bCs/>
                <w:lang w:val="ro-RO"/>
              </w:rPr>
            </w:pPr>
            <w:r w:rsidRPr="00CF3853">
              <w:rPr>
                <w:bCs/>
                <w:lang w:val="ro-RO"/>
              </w:rPr>
              <w:t>2019</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 xml:space="preserve">2 acte normative  </w:t>
            </w:r>
          </w:p>
          <w:p w:rsidR="000F4322" w:rsidRPr="00CF3853" w:rsidRDefault="000F4322" w:rsidP="001454A8">
            <w:pPr>
              <w:ind w:firstLine="0"/>
              <w:jc w:val="left"/>
              <w:rPr>
                <w:bCs/>
                <w:lang w:val="ro-RO"/>
              </w:rPr>
            </w:pPr>
            <w:r w:rsidRPr="00CF3853">
              <w:rPr>
                <w:bCs/>
                <w:lang w:val="ro-RO"/>
              </w:rPr>
              <w:t>modificate</w:t>
            </w:r>
          </w:p>
        </w:tc>
      </w:tr>
      <w:tr w:rsidR="000F4322" w:rsidRPr="00CF3853" w:rsidTr="004602B5">
        <w:tc>
          <w:tcPr>
            <w:tcW w:w="264" w:type="pct"/>
            <w:vMerge/>
            <w:tcBorders>
              <w:bottom w:val="nil"/>
            </w:tcBorders>
            <w:hideMark/>
          </w:tcPr>
          <w:p w:rsidR="000F4322" w:rsidRPr="00CF3853" w:rsidRDefault="000F4322" w:rsidP="001454A8">
            <w:pPr>
              <w:ind w:firstLine="0"/>
              <w:jc w:val="center"/>
              <w:rPr>
                <w:b/>
                <w:bCs/>
                <w:lang w:val="ro-RO"/>
              </w:rPr>
            </w:pPr>
          </w:p>
        </w:tc>
        <w:tc>
          <w:tcPr>
            <w:tcW w:w="855" w:type="pct"/>
            <w:vMerge/>
            <w:tcBorders>
              <w:bottom w:val="nil"/>
            </w:tcBorders>
            <w:hideMark/>
          </w:tcPr>
          <w:p w:rsidR="000F4322" w:rsidRPr="00CF3853" w:rsidRDefault="000F4322" w:rsidP="001454A8">
            <w:pPr>
              <w:ind w:firstLine="0"/>
              <w:rPr>
                <w:bCs/>
                <w:lang w:val="ro-RO"/>
              </w:rPr>
            </w:pPr>
          </w:p>
        </w:tc>
        <w:tc>
          <w:tcPr>
            <w:tcW w:w="1184" w:type="pct"/>
            <w:hideMark/>
          </w:tcPr>
          <w:p w:rsidR="000F4322" w:rsidRPr="00CF3853" w:rsidRDefault="000F4322" w:rsidP="001454A8">
            <w:pPr>
              <w:ind w:firstLine="0"/>
              <w:jc w:val="left"/>
              <w:rPr>
                <w:bCs/>
                <w:lang w:val="ro-RO"/>
              </w:rPr>
            </w:pPr>
            <w:r w:rsidRPr="00CF3853">
              <w:rPr>
                <w:bCs/>
                <w:lang w:val="ro-RO"/>
              </w:rPr>
              <w:t>3.2.3. Aprobarea ghidului privind protecția investitorului</w:t>
            </w:r>
          </w:p>
        </w:tc>
        <w:tc>
          <w:tcPr>
            <w:tcW w:w="330" w:type="pct"/>
          </w:tcPr>
          <w:p w:rsidR="000F4322" w:rsidRPr="00CF3853" w:rsidRDefault="000F4322" w:rsidP="001454A8">
            <w:pPr>
              <w:ind w:firstLine="0"/>
              <w:jc w:val="center"/>
              <w:rPr>
                <w:bCs/>
                <w:lang w:val="ro-RO"/>
              </w:rPr>
            </w:pPr>
            <w:r w:rsidRPr="00CF3853">
              <w:rPr>
                <w:bCs/>
                <w:lang w:val="ro-RO"/>
              </w:rPr>
              <w:t>2020</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p w:rsidR="000F4322" w:rsidRPr="00CF3853" w:rsidRDefault="000F4322" w:rsidP="001454A8">
            <w:pPr>
              <w:ind w:firstLine="0"/>
              <w:jc w:val="left"/>
              <w:rPr>
                <w:lang w:val="ro-RO"/>
              </w:rPr>
            </w:pPr>
          </w:p>
        </w:tc>
        <w:tc>
          <w:tcPr>
            <w:tcW w:w="854" w:type="pct"/>
          </w:tcPr>
          <w:p w:rsidR="000F4322" w:rsidRPr="00CF3853" w:rsidRDefault="000F4322" w:rsidP="001454A8">
            <w:pPr>
              <w:ind w:firstLine="0"/>
              <w:jc w:val="left"/>
              <w:rPr>
                <w:bCs/>
                <w:lang w:val="ro-RO"/>
              </w:rPr>
            </w:pPr>
            <w:r w:rsidRPr="00CF3853">
              <w:rPr>
                <w:bCs/>
                <w:lang w:val="ro-RO"/>
              </w:rPr>
              <w:t xml:space="preserve">Gradul de </w:t>
            </w:r>
            <w:proofErr w:type="spellStart"/>
            <w:r w:rsidRPr="00CF3853">
              <w:rPr>
                <w:bCs/>
                <w:lang w:val="ro-RO"/>
              </w:rPr>
              <w:t>protecţie</w:t>
            </w:r>
            <w:proofErr w:type="spellEnd"/>
            <w:r w:rsidRPr="00CF3853">
              <w:rPr>
                <w:bCs/>
                <w:lang w:val="ro-RO"/>
              </w:rPr>
              <w:t xml:space="preserve"> a investitorului, sporit</w:t>
            </w:r>
          </w:p>
        </w:tc>
      </w:tr>
      <w:tr w:rsidR="000F4322" w:rsidRPr="00CF3853" w:rsidTr="004602B5">
        <w:tc>
          <w:tcPr>
            <w:tcW w:w="264" w:type="pct"/>
            <w:tcBorders>
              <w:top w:val="nil"/>
            </w:tcBorders>
          </w:tcPr>
          <w:p w:rsidR="000F4322" w:rsidRPr="00CF3853" w:rsidRDefault="000F4322" w:rsidP="001454A8">
            <w:pPr>
              <w:ind w:firstLine="0"/>
              <w:rPr>
                <w:lang w:val="ro-RO"/>
              </w:rPr>
            </w:pPr>
          </w:p>
        </w:tc>
        <w:tc>
          <w:tcPr>
            <w:tcW w:w="855" w:type="pct"/>
            <w:tcBorders>
              <w:top w:val="nil"/>
            </w:tcBorders>
          </w:tcPr>
          <w:p w:rsidR="000F4322" w:rsidRPr="00CF3853" w:rsidRDefault="000F4322" w:rsidP="001454A8">
            <w:pPr>
              <w:ind w:firstLine="0"/>
              <w:rPr>
                <w:lang w:val="ro-RO"/>
              </w:rPr>
            </w:pPr>
          </w:p>
        </w:tc>
        <w:tc>
          <w:tcPr>
            <w:tcW w:w="1184" w:type="pct"/>
          </w:tcPr>
          <w:p w:rsidR="000F4322" w:rsidRPr="00CF3853" w:rsidRDefault="000F4322" w:rsidP="001454A8">
            <w:pPr>
              <w:ind w:firstLine="0"/>
              <w:jc w:val="left"/>
              <w:rPr>
                <w:bCs/>
                <w:lang w:val="ro-RO"/>
              </w:rPr>
            </w:pPr>
            <w:r w:rsidRPr="00CF3853">
              <w:rPr>
                <w:bCs/>
                <w:lang w:val="ro-RO"/>
              </w:rPr>
              <w:t>3.2.4. Organizarea și desfășurarea campaniei de informare publică privind confirmarea integrității datelor din registrele acționarilor băncilor și ale societăților de asigurări</w:t>
            </w:r>
          </w:p>
        </w:tc>
        <w:tc>
          <w:tcPr>
            <w:tcW w:w="330" w:type="pct"/>
          </w:tcPr>
          <w:p w:rsidR="000F4322" w:rsidRPr="00CF3853" w:rsidRDefault="000F4322" w:rsidP="001454A8">
            <w:pPr>
              <w:ind w:firstLine="0"/>
              <w:jc w:val="center"/>
              <w:rPr>
                <w:bCs/>
                <w:lang w:val="ro-RO"/>
              </w:rPr>
            </w:pPr>
            <w:r w:rsidRPr="00CF3853">
              <w:rPr>
                <w:bCs/>
                <w:lang w:val="ro-RO"/>
              </w:rPr>
              <w:t>2018</w:t>
            </w:r>
          </w:p>
        </w:tc>
        <w:tc>
          <w:tcPr>
            <w:tcW w:w="790" w:type="pct"/>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Bugetul de stat</w:t>
            </w:r>
          </w:p>
        </w:tc>
        <w:tc>
          <w:tcPr>
            <w:tcW w:w="854" w:type="pct"/>
          </w:tcPr>
          <w:p w:rsidR="000F4322" w:rsidRPr="00CF3853" w:rsidRDefault="000F4322" w:rsidP="001454A8">
            <w:pPr>
              <w:ind w:firstLine="0"/>
              <w:jc w:val="left"/>
              <w:rPr>
                <w:bCs/>
                <w:lang w:val="ro-RO"/>
              </w:rPr>
            </w:pPr>
            <w:r w:rsidRPr="00CF3853">
              <w:rPr>
                <w:bCs/>
                <w:lang w:val="ro-RO"/>
              </w:rPr>
              <w:t>Campania de informare publică organizată și desfășurată</w:t>
            </w:r>
          </w:p>
        </w:tc>
      </w:tr>
      <w:tr w:rsidR="000F4322" w:rsidRPr="00CF3853" w:rsidTr="001454A8">
        <w:tc>
          <w:tcPr>
            <w:tcW w:w="5000" w:type="pct"/>
            <w:gridSpan w:val="7"/>
            <w:hideMark/>
          </w:tcPr>
          <w:p w:rsidR="000F4322" w:rsidRPr="00CF3853" w:rsidRDefault="000F4322" w:rsidP="001454A8">
            <w:pPr>
              <w:ind w:firstLine="0"/>
              <w:jc w:val="center"/>
              <w:rPr>
                <w:b/>
                <w:bCs/>
                <w:lang w:val="ro-RO"/>
              </w:rPr>
            </w:pPr>
            <w:r w:rsidRPr="00CF3853">
              <w:rPr>
                <w:b/>
                <w:bCs/>
                <w:lang w:val="ro-RO"/>
              </w:rPr>
              <w:t>4. Consolidarea capacităților instituționale și operaționale ale Comisiei Naționale a Pieței Financiare</w:t>
            </w:r>
          </w:p>
        </w:tc>
      </w:tr>
      <w:tr w:rsidR="000F4322" w:rsidRPr="00CF3853" w:rsidTr="001454A8">
        <w:tc>
          <w:tcPr>
            <w:tcW w:w="264" w:type="pct"/>
            <w:vMerge w:val="restart"/>
            <w:hideMark/>
          </w:tcPr>
          <w:p w:rsidR="000F4322" w:rsidRPr="00CF3853" w:rsidRDefault="000F4322" w:rsidP="001454A8">
            <w:pPr>
              <w:ind w:firstLine="0"/>
              <w:jc w:val="center"/>
              <w:rPr>
                <w:b/>
                <w:bCs/>
                <w:lang w:val="ro-RO"/>
              </w:rPr>
            </w:pPr>
            <w:r w:rsidRPr="00CF3853">
              <w:rPr>
                <w:b/>
                <w:bCs/>
                <w:lang w:val="ro-RO"/>
              </w:rPr>
              <w:t>4.1</w:t>
            </w:r>
          </w:p>
        </w:tc>
        <w:tc>
          <w:tcPr>
            <w:tcW w:w="855" w:type="pct"/>
            <w:vMerge w:val="restart"/>
            <w:hideMark/>
          </w:tcPr>
          <w:p w:rsidR="007D3263" w:rsidRPr="00CF3853" w:rsidRDefault="000F4322" w:rsidP="001454A8">
            <w:pPr>
              <w:ind w:firstLine="0"/>
              <w:jc w:val="left"/>
              <w:rPr>
                <w:lang w:val="ro-RO"/>
              </w:rPr>
            </w:pPr>
            <w:r w:rsidRPr="00CF3853">
              <w:rPr>
                <w:lang w:val="ro-RO"/>
              </w:rPr>
              <w:t xml:space="preserve">Consolidarea capacităților CNPF în depistarea </w:t>
            </w:r>
          </w:p>
          <w:p w:rsidR="000F4322" w:rsidRPr="00CF3853" w:rsidRDefault="000F4322" w:rsidP="001454A8">
            <w:pPr>
              <w:ind w:firstLine="0"/>
              <w:jc w:val="left"/>
              <w:rPr>
                <w:b/>
                <w:bCs/>
                <w:lang w:val="ro-RO"/>
              </w:rPr>
            </w:pPr>
            <w:r w:rsidRPr="00CF3853">
              <w:rPr>
                <w:lang w:val="ro-RO"/>
              </w:rPr>
              <w:lastRenderedPageBreak/>
              <w:t xml:space="preserve">abuzurilor de pe piața de capital </w:t>
            </w:r>
          </w:p>
        </w:tc>
        <w:tc>
          <w:tcPr>
            <w:tcW w:w="1184" w:type="pct"/>
            <w:hideMark/>
          </w:tcPr>
          <w:p w:rsidR="000F4322" w:rsidRPr="00CF3853" w:rsidRDefault="000F4322" w:rsidP="001454A8">
            <w:pPr>
              <w:ind w:firstLine="0"/>
              <w:jc w:val="left"/>
              <w:rPr>
                <w:b/>
                <w:bCs/>
                <w:lang w:val="ro-RO"/>
              </w:rPr>
            </w:pPr>
            <w:r w:rsidRPr="00CF3853">
              <w:rPr>
                <w:bCs/>
                <w:lang w:val="ro-RO"/>
              </w:rPr>
              <w:lastRenderedPageBreak/>
              <w:t xml:space="preserve">4.1.1. Elaborarea ghidurilor și a notelor explicative aferente punerii în aplicare a Regulamentului privind </w:t>
            </w:r>
            <w:r w:rsidRPr="00CF3853">
              <w:rPr>
                <w:bCs/>
                <w:lang w:val="ro-RO"/>
              </w:rPr>
              <w:lastRenderedPageBreak/>
              <w:t>a</w:t>
            </w:r>
            <w:r w:rsidRPr="00CF3853">
              <w:rPr>
                <w:lang w:val="ro-RO"/>
              </w:rPr>
              <w:t>buzurile de pe piața de capital</w:t>
            </w:r>
          </w:p>
        </w:tc>
        <w:tc>
          <w:tcPr>
            <w:tcW w:w="330" w:type="pct"/>
          </w:tcPr>
          <w:p w:rsidR="000F4322" w:rsidRPr="00CF3853" w:rsidRDefault="000F4322" w:rsidP="001454A8">
            <w:pPr>
              <w:ind w:firstLine="0"/>
              <w:jc w:val="center"/>
              <w:rPr>
                <w:bCs/>
                <w:lang w:val="ro-RO"/>
              </w:rPr>
            </w:pPr>
            <w:r w:rsidRPr="00CF3853">
              <w:rPr>
                <w:bCs/>
                <w:lang w:val="ro-RO"/>
              </w:rPr>
              <w:lastRenderedPageBreak/>
              <w:t>2022</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Ghiduri elaborate și aprobate</w:t>
            </w:r>
          </w:p>
        </w:tc>
      </w:tr>
      <w:tr w:rsidR="000F4322" w:rsidRPr="00CF3853" w:rsidTr="001454A8">
        <w:tc>
          <w:tcPr>
            <w:tcW w:w="264" w:type="pct"/>
            <w:vMerge/>
            <w:hideMark/>
          </w:tcPr>
          <w:p w:rsidR="000F4322" w:rsidRPr="00CF3853" w:rsidRDefault="000F4322" w:rsidP="001454A8">
            <w:pPr>
              <w:ind w:firstLine="0"/>
              <w:jc w:val="center"/>
              <w:rPr>
                <w:b/>
                <w:bCs/>
                <w:lang w:val="ro-RO"/>
              </w:rPr>
            </w:pPr>
          </w:p>
        </w:tc>
        <w:tc>
          <w:tcPr>
            <w:tcW w:w="855" w:type="pct"/>
            <w:vMerge/>
            <w:hideMark/>
          </w:tcPr>
          <w:p w:rsidR="000F4322" w:rsidRPr="00CF3853" w:rsidRDefault="000F4322" w:rsidP="001454A8">
            <w:pPr>
              <w:ind w:firstLine="0"/>
              <w:jc w:val="left"/>
              <w:rPr>
                <w:lang w:val="ro-RO"/>
              </w:rPr>
            </w:pPr>
          </w:p>
        </w:tc>
        <w:tc>
          <w:tcPr>
            <w:tcW w:w="1184" w:type="pct"/>
            <w:hideMark/>
          </w:tcPr>
          <w:p w:rsidR="000F4322" w:rsidRPr="00CF3853" w:rsidRDefault="000F4322" w:rsidP="001454A8">
            <w:pPr>
              <w:ind w:firstLine="0"/>
              <w:jc w:val="left"/>
              <w:rPr>
                <w:bCs/>
                <w:lang w:val="ro-RO"/>
              </w:rPr>
            </w:pPr>
            <w:r w:rsidRPr="00CF3853">
              <w:rPr>
                <w:bCs/>
                <w:lang w:val="ro-RO"/>
              </w:rPr>
              <w:t xml:space="preserve">4.1.2. </w:t>
            </w:r>
            <w:r w:rsidRPr="00CF3853">
              <w:rPr>
                <w:lang w:val="ro-RO"/>
              </w:rPr>
              <w:t xml:space="preserve">Punerea în aplicare a mecanismelor de investigație privind abuzurile de pe piața de capital </w:t>
            </w:r>
          </w:p>
        </w:tc>
        <w:tc>
          <w:tcPr>
            <w:tcW w:w="330" w:type="pct"/>
          </w:tcPr>
          <w:p w:rsidR="000F4322" w:rsidRPr="00CF3853" w:rsidRDefault="000F4322" w:rsidP="001454A8">
            <w:pPr>
              <w:ind w:firstLine="0"/>
              <w:jc w:val="center"/>
              <w:rPr>
                <w:bCs/>
                <w:lang w:val="ro-RO"/>
              </w:rPr>
            </w:pPr>
            <w:r w:rsidRPr="00CF3853">
              <w:rPr>
                <w:bCs/>
                <w:lang w:val="ro-RO"/>
              </w:rPr>
              <w:t>2022</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Numărul de abuzuri pe piața de capital investigate</w:t>
            </w:r>
          </w:p>
        </w:tc>
      </w:tr>
      <w:tr w:rsidR="000F4322" w:rsidRPr="00CF3853" w:rsidTr="001454A8">
        <w:tc>
          <w:tcPr>
            <w:tcW w:w="264" w:type="pct"/>
            <w:tcBorders>
              <w:bottom w:val="nil"/>
            </w:tcBorders>
            <w:hideMark/>
          </w:tcPr>
          <w:p w:rsidR="000F4322" w:rsidRPr="00CF3853" w:rsidRDefault="000F4322" w:rsidP="001454A8">
            <w:pPr>
              <w:ind w:firstLine="0"/>
              <w:jc w:val="center"/>
              <w:rPr>
                <w:b/>
                <w:bCs/>
                <w:lang w:val="ro-RO"/>
              </w:rPr>
            </w:pPr>
            <w:r w:rsidRPr="00CF3853">
              <w:rPr>
                <w:b/>
                <w:bCs/>
                <w:lang w:val="ro-RO"/>
              </w:rPr>
              <w:t>4.2</w:t>
            </w:r>
          </w:p>
        </w:tc>
        <w:tc>
          <w:tcPr>
            <w:tcW w:w="855" w:type="pct"/>
            <w:tcBorders>
              <w:bottom w:val="nil"/>
            </w:tcBorders>
            <w:hideMark/>
          </w:tcPr>
          <w:p w:rsidR="000F4322" w:rsidRPr="00CF3853" w:rsidRDefault="000F4322" w:rsidP="001454A8">
            <w:pPr>
              <w:ind w:firstLine="0"/>
              <w:jc w:val="left"/>
              <w:rPr>
                <w:lang w:val="ro-RO"/>
              </w:rPr>
            </w:pPr>
            <w:r w:rsidRPr="00CF3853">
              <w:rPr>
                <w:lang w:val="ro-RO"/>
              </w:rPr>
              <w:t xml:space="preserve">Consolidarea capacităților CNPF pentru efectuarea inspecțiilor la fața locului </w:t>
            </w:r>
          </w:p>
        </w:tc>
        <w:tc>
          <w:tcPr>
            <w:tcW w:w="1184" w:type="pct"/>
            <w:hideMark/>
          </w:tcPr>
          <w:p w:rsidR="000F4322" w:rsidRPr="00CF3853" w:rsidRDefault="000F4322" w:rsidP="001454A8">
            <w:pPr>
              <w:ind w:firstLine="0"/>
              <w:jc w:val="left"/>
              <w:rPr>
                <w:bCs/>
                <w:lang w:val="ro-RO"/>
              </w:rPr>
            </w:pPr>
            <w:r w:rsidRPr="00CF3853">
              <w:rPr>
                <w:bCs/>
                <w:lang w:val="ro-RO"/>
              </w:rPr>
              <w:t>4.2.1. Revizuirea Regulamentului privind inspecțiile la fața locului pe piața de capital, pe piața de asigurări și în sectorul de pensii facultative</w:t>
            </w:r>
          </w:p>
        </w:tc>
        <w:tc>
          <w:tcPr>
            <w:tcW w:w="330" w:type="pct"/>
          </w:tcPr>
          <w:p w:rsidR="000F4322" w:rsidRPr="00CF3853" w:rsidRDefault="000F4322" w:rsidP="001454A8">
            <w:pPr>
              <w:ind w:firstLine="0"/>
              <w:jc w:val="center"/>
              <w:rPr>
                <w:bCs/>
                <w:lang w:val="ro-RO"/>
              </w:rPr>
            </w:pPr>
            <w:r w:rsidRPr="00CF3853">
              <w:rPr>
                <w:bCs/>
                <w:lang w:val="ro-RO"/>
              </w:rPr>
              <w:t>2022</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 xml:space="preserve">Numărul de </w:t>
            </w:r>
            <w:proofErr w:type="spellStart"/>
            <w:r w:rsidRPr="00CF3853">
              <w:rPr>
                <w:bCs/>
                <w:lang w:val="ro-RO"/>
              </w:rPr>
              <w:t>inspecţii</w:t>
            </w:r>
            <w:proofErr w:type="spellEnd"/>
            <w:r w:rsidRPr="00CF3853">
              <w:rPr>
                <w:bCs/>
                <w:lang w:val="ro-RO"/>
              </w:rPr>
              <w:t xml:space="preserve"> efectuate</w:t>
            </w:r>
          </w:p>
        </w:tc>
      </w:tr>
      <w:tr w:rsidR="000F4322" w:rsidRPr="00CF3853" w:rsidTr="001454A8">
        <w:tc>
          <w:tcPr>
            <w:tcW w:w="264" w:type="pct"/>
            <w:tcBorders>
              <w:top w:val="nil"/>
            </w:tcBorders>
            <w:hideMark/>
          </w:tcPr>
          <w:p w:rsidR="000F4322" w:rsidRPr="00CF3853" w:rsidRDefault="000F4322" w:rsidP="001454A8">
            <w:pPr>
              <w:ind w:firstLine="0"/>
              <w:jc w:val="center"/>
              <w:rPr>
                <w:b/>
                <w:bCs/>
                <w:lang w:val="ro-RO"/>
              </w:rPr>
            </w:pPr>
          </w:p>
        </w:tc>
        <w:tc>
          <w:tcPr>
            <w:tcW w:w="855" w:type="pct"/>
            <w:tcBorders>
              <w:top w:val="nil"/>
            </w:tcBorders>
            <w:hideMark/>
          </w:tcPr>
          <w:p w:rsidR="000F4322" w:rsidRPr="00CF3853" w:rsidRDefault="000F4322" w:rsidP="001454A8">
            <w:pPr>
              <w:ind w:firstLine="0"/>
              <w:jc w:val="left"/>
              <w:rPr>
                <w:lang w:val="ro-RO"/>
              </w:rPr>
            </w:pPr>
          </w:p>
        </w:tc>
        <w:tc>
          <w:tcPr>
            <w:tcW w:w="1184" w:type="pct"/>
            <w:hideMark/>
          </w:tcPr>
          <w:p w:rsidR="000F4322" w:rsidRPr="00CF3853" w:rsidRDefault="000F4322" w:rsidP="001454A8">
            <w:pPr>
              <w:ind w:firstLine="0"/>
              <w:jc w:val="left"/>
              <w:rPr>
                <w:bCs/>
                <w:lang w:val="ro-RO"/>
              </w:rPr>
            </w:pPr>
            <w:r w:rsidRPr="00CF3853">
              <w:rPr>
                <w:bCs/>
                <w:lang w:val="ro-RO"/>
              </w:rPr>
              <w:t>4.2.2. Revizuirea procedurilor aferente inspecțiilor la fața locului sub aspectul prevenirii și combaterii spălării banilor și finanțării terorismului</w:t>
            </w:r>
          </w:p>
        </w:tc>
        <w:tc>
          <w:tcPr>
            <w:tcW w:w="330" w:type="pct"/>
          </w:tcPr>
          <w:p w:rsidR="000F4322" w:rsidRPr="00CF3853" w:rsidRDefault="000F4322" w:rsidP="001454A8">
            <w:pPr>
              <w:ind w:firstLine="0"/>
              <w:jc w:val="center"/>
              <w:rPr>
                <w:bCs/>
                <w:lang w:val="ro-RO"/>
              </w:rPr>
            </w:pPr>
            <w:r w:rsidRPr="00CF3853">
              <w:rPr>
                <w:bCs/>
                <w:lang w:val="ro-RO"/>
              </w:rPr>
              <w:t>2022</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 xml:space="preserve">Numărul de </w:t>
            </w:r>
            <w:proofErr w:type="spellStart"/>
            <w:r w:rsidRPr="00CF3853">
              <w:rPr>
                <w:bCs/>
                <w:lang w:val="ro-RO"/>
              </w:rPr>
              <w:t>inspecţii</w:t>
            </w:r>
            <w:proofErr w:type="spellEnd"/>
            <w:r w:rsidRPr="00CF3853">
              <w:rPr>
                <w:bCs/>
                <w:lang w:val="ro-RO"/>
              </w:rPr>
              <w:t xml:space="preserve"> efectuate</w:t>
            </w:r>
          </w:p>
        </w:tc>
      </w:tr>
      <w:tr w:rsidR="000F4322" w:rsidRPr="00CF3853" w:rsidTr="001454A8">
        <w:tc>
          <w:tcPr>
            <w:tcW w:w="264" w:type="pct"/>
          </w:tcPr>
          <w:p w:rsidR="000F4322" w:rsidRPr="00CF3853" w:rsidRDefault="000F4322" w:rsidP="001454A8">
            <w:pPr>
              <w:ind w:firstLine="0"/>
              <w:jc w:val="center"/>
              <w:rPr>
                <w:b/>
                <w:bCs/>
                <w:lang w:val="ro-RO"/>
              </w:rPr>
            </w:pPr>
            <w:r w:rsidRPr="00CF3853">
              <w:rPr>
                <w:b/>
                <w:bCs/>
                <w:lang w:val="ro-RO"/>
              </w:rPr>
              <w:t>4.3</w:t>
            </w:r>
          </w:p>
        </w:tc>
        <w:tc>
          <w:tcPr>
            <w:tcW w:w="855" w:type="pct"/>
          </w:tcPr>
          <w:p w:rsidR="000F4322" w:rsidRPr="00CF3853" w:rsidRDefault="000F4322" w:rsidP="001454A8">
            <w:pPr>
              <w:ind w:firstLine="0"/>
              <w:jc w:val="left"/>
              <w:rPr>
                <w:lang w:val="ro-RO"/>
              </w:rPr>
            </w:pPr>
            <w:r w:rsidRPr="00CF3853">
              <w:rPr>
                <w:bCs/>
                <w:lang w:val="ro-RO"/>
              </w:rPr>
              <w:t>I</w:t>
            </w:r>
            <w:r w:rsidRPr="00CF3853">
              <w:rPr>
                <w:rFonts w:eastAsiaTheme="minorHAnsi"/>
                <w:lang w:val="ro-RO"/>
              </w:rPr>
              <w:t>mplicarea CNPF în educația financiară a populației</w:t>
            </w:r>
          </w:p>
        </w:tc>
        <w:tc>
          <w:tcPr>
            <w:tcW w:w="1184" w:type="pct"/>
          </w:tcPr>
          <w:p w:rsidR="000F4322" w:rsidRPr="00CF3853" w:rsidRDefault="000F4322" w:rsidP="001454A8">
            <w:pPr>
              <w:ind w:firstLine="0"/>
              <w:jc w:val="left"/>
              <w:rPr>
                <w:bCs/>
                <w:lang w:val="ro-RO"/>
              </w:rPr>
            </w:pPr>
            <w:r w:rsidRPr="00CF3853">
              <w:rPr>
                <w:bCs/>
                <w:lang w:val="ro-RO"/>
              </w:rPr>
              <w:t>4.3.1.</w:t>
            </w:r>
            <w:r w:rsidRPr="00CF3853">
              <w:rPr>
                <w:lang w:val="fr-CA"/>
              </w:rPr>
              <w:t xml:space="preserve"> </w:t>
            </w:r>
            <w:proofErr w:type="spellStart"/>
            <w:r w:rsidRPr="00CF3853">
              <w:rPr>
                <w:lang w:val="fr-CA"/>
              </w:rPr>
              <w:t>Implicarea</w:t>
            </w:r>
            <w:proofErr w:type="spellEnd"/>
            <w:r w:rsidRPr="00CF3853">
              <w:rPr>
                <w:lang w:val="fr-CA"/>
              </w:rPr>
              <w:t xml:space="preserve"> </w:t>
            </w:r>
            <w:r w:rsidRPr="00CF3853">
              <w:rPr>
                <w:lang w:val="ro-RO"/>
              </w:rPr>
              <w:t>în activitățile ce țin de educația financiară a populației, inclusiv în cooperare cu Organizația pentru Cooperare și Dezvoltare Economică (OCDE)</w:t>
            </w:r>
          </w:p>
        </w:tc>
        <w:tc>
          <w:tcPr>
            <w:tcW w:w="330" w:type="pct"/>
          </w:tcPr>
          <w:p w:rsidR="000F4322" w:rsidRPr="00CF3853" w:rsidRDefault="000F4322" w:rsidP="001454A8">
            <w:pPr>
              <w:ind w:firstLine="0"/>
              <w:jc w:val="center"/>
              <w:rPr>
                <w:bCs/>
                <w:lang w:val="ro-RO"/>
              </w:rPr>
            </w:pPr>
            <w:r w:rsidRPr="00CF3853">
              <w:rPr>
                <w:bCs/>
                <w:lang w:val="ro-RO"/>
              </w:rPr>
              <w:t>2020</w:t>
            </w:r>
          </w:p>
        </w:tc>
        <w:tc>
          <w:tcPr>
            <w:tcW w:w="790" w:type="pct"/>
          </w:tcPr>
          <w:p w:rsidR="000F4322" w:rsidRPr="00CF3853" w:rsidRDefault="000F4322" w:rsidP="001454A8">
            <w:pPr>
              <w:ind w:firstLine="0"/>
              <w:jc w:val="left"/>
              <w:rPr>
                <w:bCs/>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bCs/>
                <w:lang w:val="ro-RO"/>
              </w:rPr>
            </w:pPr>
            <w:r w:rsidRPr="00CF3853">
              <w:rPr>
                <w:bCs/>
                <w:lang w:val="ro-RO"/>
              </w:rPr>
              <w:t>În limita bugetului CNPF</w:t>
            </w:r>
          </w:p>
        </w:tc>
        <w:tc>
          <w:tcPr>
            <w:tcW w:w="854" w:type="pct"/>
            <w:tcBorders>
              <w:right w:val="single" w:sz="4" w:space="0" w:color="auto"/>
            </w:tcBorders>
          </w:tcPr>
          <w:p w:rsidR="000F4322" w:rsidRPr="00CF3853" w:rsidRDefault="000F4322" w:rsidP="001454A8">
            <w:pPr>
              <w:ind w:firstLine="0"/>
              <w:jc w:val="left"/>
              <w:rPr>
                <w:bCs/>
                <w:lang w:val="ro-RO"/>
              </w:rPr>
            </w:pPr>
            <w:r w:rsidRPr="00CF3853">
              <w:rPr>
                <w:bCs/>
                <w:lang w:val="ro-RO"/>
              </w:rPr>
              <w:t>Numărul de activități realizate</w:t>
            </w:r>
          </w:p>
        </w:tc>
      </w:tr>
      <w:tr w:rsidR="000F4322" w:rsidRPr="00CF3853" w:rsidTr="001454A8">
        <w:tc>
          <w:tcPr>
            <w:tcW w:w="264" w:type="pct"/>
            <w:hideMark/>
          </w:tcPr>
          <w:p w:rsidR="000F4322" w:rsidRPr="00CF3853" w:rsidRDefault="000F4322" w:rsidP="001454A8">
            <w:pPr>
              <w:ind w:firstLine="0"/>
              <w:jc w:val="center"/>
              <w:rPr>
                <w:b/>
                <w:bCs/>
                <w:lang w:val="ro-RO"/>
              </w:rPr>
            </w:pPr>
            <w:r w:rsidRPr="00CF3853">
              <w:rPr>
                <w:b/>
                <w:bCs/>
                <w:lang w:val="ro-RO"/>
              </w:rPr>
              <w:t xml:space="preserve"> 4.4</w:t>
            </w:r>
          </w:p>
        </w:tc>
        <w:tc>
          <w:tcPr>
            <w:tcW w:w="855" w:type="pct"/>
            <w:hideMark/>
          </w:tcPr>
          <w:p w:rsidR="000F4322" w:rsidRPr="00CF3853" w:rsidRDefault="000F4322" w:rsidP="001454A8">
            <w:pPr>
              <w:ind w:firstLine="0"/>
              <w:jc w:val="left"/>
              <w:rPr>
                <w:lang w:val="ro-RO"/>
              </w:rPr>
            </w:pPr>
            <w:r w:rsidRPr="00CF3853">
              <w:rPr>
                <w:lang w:val="ro-RO"/>
              </w:rPr>
              <w:t>Consolidarea cooperării interinstituționale și internaționale a CNPF</w:t>
            </w:r>
          </w:p>
        </w:tc>
        <w:tc>
          <w:tcPr>
            <w:tcW w:w="1184" w:type="pct"/>
            <w:hideMark/>
          </w:tcPr>
          <w:p w:rsidR="000F4322" w:rsidRPr="00CF3853" w:rsidRDefault="000F4322" w:rsidP="001454A8">
            <w:pPr>
              <w:ind w:firstLine="0"/>
              <w:jc w:val="left"/>
              <w:rPr>
                <w:bCs/>
                <w:lang w:val="ro-RO"/>
              </w:rPr>
            </w:pPr>
            <w:r w:rsidRPr="00CF3853">
              <w:rPr>
                <w:bCs/>
                <w:lang w:val="ro-RO"/>
              </w:rPr>
              <w:t>4.4.1. Evaluarea cadrului normativ privind cooperarea internațională și schimbul de informații cu autoritățile financiare de reglementare străine</w:t>
            </w:r>
          </w:p>
        </w:tc>
        <w:tc>
          <w:tcPr>
            <w:tcW w:w="330" w:type="pct"/>
          </w:tcPr>
          <w:p w:rsidR="000F4322" w:rsidRPr="00CF3853" w:rsidRDefault="000F4322" w:rsidP="001454A8">
            <w:pPr>
              <w:ind w:firstLine="0"/>
              <w:jc w:val="center"/>
              <w:rPr>
                <w:bCs/>
                <w:lang w:val="ro-RO"/>
              </w:rPr>
            </w:pPr>
            <w:r w:rsidRPr="00CF3853">
              <w:rPr>
                <w:bCs/>
                <w:lang w:val="ro-RO"/>
              </w:rPr>
              <w:t>2020</w:t>
            </w:r>
          </w:p>
        </w:tc>
        <w:tc>
          <w:tcPr>
            <w:tcW w:w="790" w:type="pct"/>
            <w:hideMark/>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CF3853" w:rsidRDefault="000F4322" w:rsidP="001454A8">
            <w:pPr>
              <w:ind w:firstLine="0"/>
              <w:jc w:val="left"/>
              <w:rPr>
                <w:bCs/>
                <w:lang w:val="ro-RO"/>
              </w:rPr>
            </w:pPr>
            <w:r w:rsidRPr="00CF3853">
              <w:rPr>
                <w:bCs/>
                <w:lang w:val="ro-RO"/>
              </w:rPr>
              <w:t>Lege revizuit</w:t>
            </w:r>
            <w:r w:rsidRPr="00CF3853">
              <w:rPr>
                <w:bCs/>
                <w:lang w:val="ro-MD"/>
              </w:rPr>
              <w:t>ă;</w:t>
            </w:r>
            <w:r w:rsidRPr="00CF3853">
              <w:rPr>
                <w:bCs/>
                <w:lang w:val="ro-RO"/>
              </w:rPr>
              <w:t xml:space="preserve">  proiect de lege înaintat spre aprobare</w:t>
            </w:r>
          </w:p>
        </w:tc>
      </w:tr>
      <w:tr w:rsidR="000F4322" w:rsidRPr="00836593" w:rsidTr="001454A8">
        <w:tc>
          <w:tcPr>
            <w:tcW w:w="264" w:type="pct"/>
            <w:hideMark/>
          </w:tcPr>
          <w:p w:rsidR="000F4322" w:rsidRPr="00CF3853" w:rsidRDefault="000F4322" w:rsidP="001454A8">
            <w:pPr>
              <w:ind w:firstLine="0"/>
              <w:jc w:val="center"/>
              <w:rPr>
                <w:b/>
                <w:bCs/>
                <w:lang w:val="ro-RO"/>
              </w:rPr>
            </w:pPr>
            <w:r w:rsidRPr="00CF3853">
              <w:rPr>
                <w:b/>
                <w:bCs/>
                <w:lang w:val="ro-RO"/>
              </w:rPr>
              <w:t>4.5</w:t>
            </w:r>
          </w:p>
        </w:tc>
        <w:tc>
          <w:tcPr>
            <w:tcW w:w="855" w:type="pct"/>
            <w:hideMark/>
          </w:tcPr>
          <w:p w:rsidR="000F4322" w:rsidRPr="00CF3853" w:rsidRDefault="000F4322" w:rsidP="001454A8">
            <w:pPr>
              <w:ind w:firstLine="0"/>
              <w:jc w:val="left"/>
              <w:rPr>
                <w:lang w:val="ro-RO"/>
              </w:rPr>
            </w:pPr>
            <w:r w:rsidRPr="00CF3853">
              <w:rPr>
                <w:lang w:val="ro-RO"/>
              </w:rPr>
              <w:t>Dezvoltarea tehnologiilor informaționale</w:t>
            </w:r>
          </w:p>
        </w:tc>
        <w:tc>
          <w:tcPr>
            <w:tcW w:w="1184" w:type="pct"/>
          </w:tcPr>
          <w:p w:rsidR="000F4322" w:rsidRPr="00CF3853" w:rsidRDefault="000F4322" w:rsidP="001454A8">
            <w:pPr>
              <w:ind w:firstLine="0"/>
              <w:jc w:val="left"/>
              <w:rPr>
                <w:lang w:val="ro-RO"/>
              </w:rPr>
            </w:pPr>
            <w:r w:rsidRPr="00CF3853">
              <w:rPr>
                <w:lang w:val="ro-RO"/>
              </w:rPr>
              <w:t>4.5.1. Dezvoltarea sistemului informatic ce ține de stocarea, generalizarea și diseminarea informației aferente activității participanților la piața financiară nebancară</w:t>
            </w:r>
          </w:p>
        </w:tc>
        <w:tc>
          <w:tcPr>
            <w:tcW w:w="330" w:type="pct"/>
          </w:tcPr>
          <w:p w:rsidR="000F4322" w:rsidRPr="00CF3853" w:rsidRDefault="000F4322" w:rsidP="001454A8">
            <w:pPr>
              <w:ind w:firstLine="0"/>
              <w:jc w:val="center"/>
              <w:rPr>
                <w:lang w:val="ro-RO" w:eastAsia="ro-RO"/>
              </w:rPr>
            </w:pPr>
            <w:r w:rsidRPr="00CF3853">
              <w:rPr>
                <w:lang w:val="ro-RO" w:eastAsia="ro-RO"/>
              </w:rPr>
              <w:t>2022</w:t>
            </w:r>
          </w:p>
        </w:tc>
        <w:tc>
          <w:tcPr>
            <w:tcW w:w="790" w:type="pct"/>
          </w:tcPr>
          <w:p w:rsidR="000F4322" w:rsidRPr="00CF3853" w:rsidRDefault="000F4322" w:rsidP="001454A8">
            <w:pPr>
              <w:ind w:firstLine="0"/>
              <w:jc w:val="left"/>
              <w:rPr>
                <w:lang w:val="ro-RO"/>
              </w:rPr>
            </w:pPr>
            <w:r w:rsidRPr="00CF3853">
              <w:rPr>
                <w:bCs/>
                <w:lang w:val="ro-RO"/>
              </w:rPr>
              <w:t>Comisia Națională a Pieței Financiare</w:t>
            </w:r>
          </w:p>
        </w:tc>
        <w:tc>
          <w:tcPr>
            <w:tcW w:w="724" w:type="pct"/>
          </w:tcPr>
          <w:p w:rsidR="000F4322" w:rsidRPr="00CF3853" w:rsidRDefault="000F4322" w:rsidP="001454A8">
            <w:pPr>
              <w:ind w:firstLine="0"/>
              <w:jc w:val="left"/>
              <w:rPr>
                <w:lang w:val="ro-RO"/>
              </w:rPr>
            </w:pPr>
            <w:r w:rsidRPr="00CF3853">
              <w:rPr>
                <w:bCs/>
                <w:lang w:val="ro-RO"/>
              </w:rPr>
              <w:t>În limita bugetului CNPF</w:t>
            </w:r>
          </w:p>
        </w:tc>
        <w:tc>
          <w:tcPr>
            <w:tcW w:w="854" w:type="pct"/>
          </w:tcPr>
          <w:p w:rsidR="000F4322" w:rsidRPr="00836593" w:rsidRDefault="000F4322" w:rsidP="001454A8">
            <w:pPr>
              <w:ind w:firstLine="0"/>
              <w:jc w:val="left"/>
              <w:rPr>
                <w:bCs/>
                <w:lang w:val="ro-RO"/>
              </w:rPr>
            </w:pPr>
            <w:r w:rsidRPr="00CF3853">
              <w:rPr>
                <w:bCs/>
                <w:lang w:val="ro-RO"/>
              </w:rPr>
              <w:t>Sistemul informatic dezvoltat</w:t>
            </w:r>
          </w:p>
        </w:tc>
      </w:tr>
    </w:tbl>
    <w:p w:rsidR="000F4322" w:rsidRPr="00836593" w:rsidRDefault="001454A8" w:rsidP="000F4322">
      <w:pPr>
        <w:tabs>
          <w:tab w:val="left" w:pos="1134"/>
        </w:tabs>
        <w:ind w:firstLine="0"/>
        <w:rPr>
          <w:lang w:val="ro-RO" w:eastAsia="ru-RU"/>
        </w:rPr>
      </w:pPr>
      <w:r>
        <w:rPr>
          <w:lang w:val="ro-RO" w:eastAsia="ru-RU"/>
        </w:rPr>
        <w:br w:type="textWrapping" w:clear="all"/>
      </w:r>
    </w:p>
    <w:p w:rsidR="000F4322" w:rsidRPr="00836593" w:rsidRDefault="000F4322" w:rsidP="000F4322">
      <w:pPr>
        <w:tabs>
          <w:tab w:val="left" w:pos="1134"/>
        </w:tabs>
        <w:ind w:firstLine="0"/>
        <w:jc w:val="center"/>
        <w:rPr>
          <w:b/>
          <w:bCs/>
          <w:lang w:val="ru-RU" w:eastAsia="ru-RU"/>
        </w:rPr>
      </w:pPr>
    </w:p>
    <w:p w:rsidR="000F4322" w:rsidRPr="00836593" w:rsidRDefault="000F4322" w:rsidP="000F4322"/>
    <w:p w:rsidR="000F4322" w:rsidRDefault="000F4322"/>
    <w:sectPr w:rsidR="000F4322" w:rsidSect="00C9745E">
      <w:headerReference w:type="even" r:id="rId7"/>
      <w:headerReference w:type="default" r:id="rId8"/>
      <w:footerReference w:type="even" r:id="rId9"/>
      <w:footerReference w:type="default" r:id="rId10"/>
      <w:headerReference w:type="first" r:id="rId11"/>
      <w:footerReference w:type="first" r:id="rId12"/>
      <w:pgSz w:w="11906" w:h="16838"/>
      <w:pgMar w:top="1134" w:right="964" w:bottom="1418" w:left="181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242" w:rsidRDefault="00861242" w:rsidP="000F4322">
      <w:r>
        <w:separator/>
      </w:r>
    </w:p>
  </w:endnote>
  <w:endnote w:type="continuationSeparator" w:id="0">
    <w:p w:rsidR="00861242" w:rsidRDefault="00861242" w:rsidP="000F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mbus Sans L">
    <w:altName w:val="Arial"/>
    <w:charset w:val="00"/>
    <w:family w:val="swiss"/>
    <w:pitch w:val="variable"/>
  </w:font>
  <w:font w:name="DejaVu Sans">
    <w:altName w:val="MS Mincho"/>
    <w:charset w:val="80"/>
    <w:family w:val="auto"/>
    <w:pitch w:val="variable"/>
    <w:sig w:usb0="00000000" w:usb1="08070000" w:usb2="00000010" w:usb3="00000000" w:csb0="00020000" w:csb1="00000000"/>
  </w:font>
  <w:font w:name="BKIKOO+TimesNewRoman">
    <w:altName w:val="Times New Roman"/>
    <w:charset w:val="00"/>
    <w:family w:val="roman"/>
    <w:pitch w:val="default"/>
  </w:font>
  <w:font w:name="Pragmatica CR">
    <w:altName w:val="Courier New"/>
    <w:charset w:val="59"/>
    <w:family w:val="auto"/>
    <w:pitch w:val="variable"/>
    <w:sig w:usb0="01020000"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135" w:rsidRDefault="00F4013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135" w:rsidRDefault="00F4013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135" w:rsidRDefault="00F4013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242" w:rsidRDefault="00861242" w:rsidP="000F4322">
      <w:r>
        <w:separator/>
      </w:r>
    </w:p>
  </w:footnote>
  <w:footnote w:type="continuationSeparator" w:id="0">
    <w:p w:rsidR="00861242" w:rsidRDefault="00861242" w:rsidP="000F4322">
      <w:r>
        <w:continuationSeparator/>
      </w:r>
    </w:p>
  </w:footnote>
  <w:footnote w:id="1">
    <w:p w:rsidR="000F4322" w:rsidRPr="00836593" w:rsidRDefault="000F4322" w:rsidP="000F4322">
      <w:pPr>
        <w:pStyle w:val="Textnotdesubsol"/>
        <w:ind w:left="-567" w:hanging="142"/>
        <w:rPr>
          <w:sz w:val="20"/>
          <w:lang w:val="ro-MD"/>
        </w:rPr>
      </w:pPr>
      <w:bookmarkStart w:id="0" w:name="_Hlk515973103"/>
      <w:r>
        <w:rPr>
          <w:rStyle w:val="Referinnotdesubsol"/>
        </w:rPr>
        <w:footnoteRef/>
      </w:r>
      <w:r>
        <w:t xml:space="preserve"> </w:t>
      </w:r>
      <w:r w:rsidRPr="00836593">
        <w:rPr>
          <w:sz w:val="20"/>
        </w:rPr>
        <w:t>Regulamentul (CE) nr. 1060/2009 al Parlamentului European și al Consiliului din 16 septembrie 2009 privind agențiile de rating de credit</w:t>
      </w:r>
      <w:bookmarkEnd w:id="0"/>
      <w:r w:rsidRPr="00836593">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135" w:rsidRDefault="00F4013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268400"/>
      <w:docPartObj>
        <w:docPartGallery w:val="Page Numbers (Top of Page)"/>
        <w:docPartUnique/>
      </w:docPartObj>
    </w:sdtPr>
    <w:sdtEndPr>
      <w:rPr>
        <w:sz w:val="28"/>
        <w:szCs w:val="28"/>
      </w:rPr>
    </w:sdtEndPr>
    <w:sdtContent>
      <w:p w:rsidR="006B1B3E" w:rsidRDefault="000F4322">
        <w:pPr>
          <w:pStyle w:val="Antet"/>
          <w:jc w:val="center"/>
          <w:rPr>
            <w:sz w:val="28"/>
            <w:szCs w:val="28"/>
          </w:rPr>
        </w:pPr>
        <w:r w:rsidRPr="000F4322">
          <w:rPr>
            <w:sz w:val="28"/>
            <w:szCs w:val="28"/>
          </w:rPr>
          <w:fldChar w:fldCharType="begin"/>
        </w:r>
        <w:r w:rsidRPr="000F4322">
          <w:rPr>
            <w:sz w:val="28"/>
            <w:szCs w:val="28"/>
          </w:rPr>
          <w:instrText>PAGE   \* MERGEFORMAT</w:instrText>
        </w:r>
        <w:r w:rsidRPr="000F4322">
          <w:rPr>
            <w:sz w:val="28"/>
            <w:szCs w:val="28"/>
          </w:rPr>
          <w:fldChar w:fldCharType="separate"/>
        </w:r>
        <w:r w:rsidR="007C5A6D" w:rsidRPr="007C5A6D">
          <w:rPr>
            <w:noProof/>
            <w:sz w:val="28"/>
            <w:szCs w:val="28"/>
            <w:lang w:val="ro-RO"/>
          </w:rPr>
          <w:t>7</w:t>
        </w:r>
        <w:r w:rsidRPr="000F4322">
          <w:rPr>
            <w:sz w:val="28"/>
            <w:szCs w:val="28"/>
          </w:rPr>
          <w:fldChar w:fldCharType="end"/>
        </w:r>
      </w:p>
      <w:p w:rsidR="006B1B3E" w:rsidRDefault="006B1B3E">
        <w:pPr>
          <w:pStyle w:val="Antet"/>
          <w:jc w:val="center"/>
          <w:rPr>
            <w:sz w:val="28"/>
            <w:szCs w:val="28"/>
          </w:rPr>
        </w:pPr>
      </w:p>
      <w:p w:rsidR="000F4322" w:rsidRPr="000F4322" w:rsidRDefault="006B1B3E" w:rsidP="006B1B3E">
        <w:pPr>
          <w:pStyle w:val="Antet"/>
          <w:jc w:val="right"/>
          <w:rPr>
            <w:sz w:val="28"/>
            <w:szCs w:val="28"/>
          </w:rPr>
        </w:pPr>
        <w:proofErr w:type="spellStart"/>
        <w:r>
          <w:rPr>
            <w:sz w:val="28"/>
            <w:szCs w:val="28"/>
          </w:rPr>
          <w:t>Anexa</w:t>
        </w:r>
        <w:proofErr w:type="spellEnd"/>
        <w:r>
          <w:rPr>
            <w:sz w:val="28"/>
            <w:szCs w:val="28"/>
          </w:rPr>
          <w:t xml:space="preserve"> nr. </w:t>
        </w:r>
        <w:r>
          <w:rPr>
            <w:sz w:val="28"/>
            <w:szCs w:val="28"/>
          </w:rPr>
          <w:t>2 (</w:t>
        </w:r>
        <w:r w:rsidR="00F40135">
          <w:rPr>
            <w:sz w:val="28"/>
            <w:szCs w:val="28"/>
          </w:rPr>
          <w:t>continuare</w:t>
        </w:r>
        <w:bookmarkStart w:id="1" w:name="_GoBack"/>
        <w:bookmarkEnd w:id="1"/>
        <w:r w:rsidR="003C5129">
          <w:rPr>
            <w:sz w:val="28"/>
            <w:szCs w:val="28"/>
          </w:rPr>
          <w:t>)</w:t>
        </w:r>
      </w:p>
    </w:sdtContent>
  </w:sdt>
  <w:p w:rsidR="000F4322" w:rsidRDefault="000F4322">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135" w:rsidRDefault="00F4013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E6E11AC"/>
    <w:lvl w:ilvl="0">
      <w:start w:val="1"/>
      <w:numFmt w:val="bullet"/>
      <w:pStyle w:val="Listacumarcatori2"/>
      <w:lvlText w:val=""/>
      <w:lvlJc w:val="left"/>
      <w:pPr>
        <w:tabs>
          <w:tab w:val="num" w:pos="643"/>
        </w:tabs>
        <w:ind w:left="643" w:hanging="360"/>
      </w:pPr>
      <w:rPr>
        <w:rFonts w:ascii="Symbol" w:hAnsi="Symbol" w:hint="default"/>
      </w:rPr>
    </w:lvl>
  </w:abstractNum>
  <w:abstractNum w:abstractNumId="1" w15:restartNumberingAfterBreak="0">
    <w:nsid w:val="08C3502E"/>
    <w:multiLevelType w:val="hybridMultilevel"/>
    <w:tmpl w:val="2F02B47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AE82570"/>
    <w:multiLevelType w:val="hybridMultilevel"/>
    <w:tmpl w:val="7FAEC1B8"/>
    <w:lvl w:ilvl="0" w:tplc="C830932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05CA9"/>
    <w:multiLevelType w:val="hybridMultilevel"/>
    <w:tmpl w:val="B282C494"/>
    <w:lvl w:ilvl="0" w:tplc="3CF28AFA">
      <w:start w:val="1"/>
      <w:numFmt w:val="decimal"/>
      <w:pStyle w:val="ParagraphNumbering"/>
      <w:lvlText w:val="%1.     "/>
      <w:lvlJc w:val="left"/>
      <w:pPr>
        <w:tabs>
          <w:tab w:val="num" w:pos="720"/>
        </w:tabs>
        <w:ind w:left="0" w:firstLine="0"/>
      </w:pPr>
      <w:rPr>
        <w:rFonts w:hint="default"/>
      </w:rPr>
    </w:lvl>
    <w:lvl w:ilvl="1" w:tplc="F768F3FC">
      <w:start w:val="5"/>
      <w:numFmt w:val="decimal"/>
      <w:pStyle w:val="ParagraphNumbering"/>
      <w:lvlText w:val="%2.     "/>
      <w:lvlJc w:val="left"/>
      <w:pPr>
        <w:tabs>
          <w:tab w:val="num" w:pos="720"/>
        </w:tabs>
        <w:ind w:left="0" w:firstLine="0"/>
      </w:pPr>
      <w:rPr>
        <w:rFonts w:hint="default"/>
        <w:b w:val="0"/>
        <w:i w:val="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CC0D58"/>
    <w:multiLevelType w:val="hybridMultilevel"/>
    <w:tmpl w:val="65782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916775"/>
    <w:multiLevelType w:val="hybridMultilevel"/>
    <w:tmpl w:val="83025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AA7D1C"/>
    <w:multiLevelType w:val="hybridMultilevel"/>
    <w:tmpl w:val="00BA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F6D26"/>
    <w:multiLevelType w:val="hybridMultilevel"/>
    <w:tmpl w:val="13FE3548"/>
    <w:lvl w:ilvl="0" w:tplc="DC80BCA8">
      <w:start w:val="1"/>
      <w:numFmt w:val="lowerLetter"/>
      <w:lvlText w:val="%1)"/>
      <w:lvlJc w:val="left"/>
      <w:pPr>
        <w:ind w:left="1211" w:hanging="360"/>
      </w:pPr>
      <w:rPr>
        <w:rFonts w:hint="default"/>
      </w:rPr>
    </w:lvl>
    <w:lvl w:ilvl="1" w:tplc="08180019" w:tentative="1">
      <w:start w:val="1"/>
      <w:numFmt w:val="lowerLetter"/>
      <w:lvlText w:val="%2."/>
      <w:lvlJc w:val="left"/>
      <w:pPr>
        <w:ind w:left="1931" w:hanging="360"/>
      </w:pPr>
    </w:lvl>
    <w:lvl w:ilvl="2" w:tplc="0818001B" w:tentative="1">
      <w:start w:val="1"/>
      <w:numFmt w:val="lowerRoman"/>
      <w:lvlText w:val="%3."/>
      <w:lvlJc w:val="right"/>
      <w:pPr>
        <w:ind w:left="2651" w:hanging="180"/>
      </w:pPr>
    </w:lvl>
    <w:lvl w:ilvl="3" w:tplc="0818000F" w:tentative="1">
      <w:start w:val="1"/>
      <w:numFmt w:val="decimal"/>
      <w:lvlText w:val="%4."/>
      <w:lvlJc w:val="left"/>
      <w:pPr>
        <w:ind w:left="3371" w:hanging="360"/>
      </w:pPr>
    </w:lvl>
    <w:lvl w:ilvl="4" w:tplc="08180019" w:tentative="1">
      <w:start w:val="1"/>
      <w:numFmt w:val="lowerLetter"/>
      <w:lvlText w:val="%5."/>
      <w:lvlJc w:val="left"/>
      <w:pPr>
        <w:ind w:left="4091" w:hanging="360"/>
      </w:pPr>
    </w:lvl>
    <w:lvl w:ilvl="5" w:tplc="0818001B" w:tentative="1">
      <w:start w:val="1"/>
      <w:numFmt w:val="lowerRoman"/>
      <w:lvlText w:val="%6."/>
      <w:lvlJc w:val="right"/>
      <w:pPr>
        <w:ind w:left="4811" w:hanging="180"/>
      </w:pPr>
    </w:lvl>
    <w:lvl w:ilvl="6" w:tplc="0818000F" w:tentative="1">
      <w:start w:val="1"/>
      <w:numFmt w:val="decimal"/>
      <w:lvlText w:val="%7."/>
      <w:lvlJc w:val="left"/>
      <w:pPr>
        <w:ind w:left="5531" w:hanging="360"/>
      </w:pPr>
    </w:lvl>
    <w:lvl w:ilvl="7" w:tplc="08180019" w:tentative="1">
      <w:start w:val="1"/>
      <w:numFmt w:val="lowerLetter"/>
      <w:lvlText w:val="%8."/>
      <w:lvlJc w:val="left"/>
      <w:pPr>
        <w:ind w:left="6251" w:hanging="360"/>
      </w:pPr>
    </w:lvl>
    <w:lvl w:ilvl="8" w:tplc="0818001B" w:tentative="1">
      <w:start w:val="1"/>
      <w:numFmt w:val="lowerRoman"/>
      <w:lvlText w:val="%9."/>
      <w:lvlJc w:val="right"/>
      <w:pPr>
        <w:ind w:left="6971" w:hanging="180"/>
      </w:pPr>
    </w:lvl>
  </w:abstractNum>
  <w:abstractNum w:abstractNumId="8" w15:restartNumberingAfterBreak="0">
    <w:nsid w:val="2B0F18E0"/>
    <w:multiLevelType w:val="hybridMultilevel"/>
    <w:tmpl w:val="5FDA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37868"/>
    <w:multiLevelType w:val="hybridMultilevel"/>
    <w:tmpl w:val="5448B97C"/>
    <w:lvl w:ilvl="0" w:tplc="520AB3DA">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30DD39D3"/>
    <w:multiLevelType w:val="hybridMultilevel"/>
    <w:tmpl w:val="2E0E51B2"/>
    <w:lvl w:ilvl="0" w:tplc="04090017">
      <w:start w:val="1"/>
      <w:numFmt w:val="lowerLetter"/>
      <w:lvlText w:val="%1)"/>
      <w:lvlJc w:val="left"/>
      <w:pPr>
        <w:ind w:left="2062" w:hanging="360"/>
      </w:p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11" w15:restartNumberingAfterBreak="0">
    <w:nsid w:val="31990972"/>
    <w:multiLevelType w:val="hybridMultilevel"/>
    <w:tmpl w:val="150C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02FDA"/>
    <w:multiLevelType w:val="hybridMultilevel"/>
    <w:tmpl w:val="AFE0B43C"/>
    <w:lvl w:ilvl="0" w:tplc="0DBEA98A">
      <w:start w:val="1"/>
      <w:numFmt w:val="bullet"/>
      <w:lvlText w:val="–"/>
      <w:lvlJc w:val="left"/>
      <w:pPr>
        <w:ind w:left="1080" w:hanging="360"/>
      </w:pPr>
      <w:rPr>
        <w:rFonts w:ascii="Times New Roman" w:eastAsia="Times New Roman" w:hAnsi="Times New Roman" w:cs="Times New Roman"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3" w15:restartNumberingAfterBreak="0">
    <w:nsid w:val="50853D3B"/>
    <w:multiLevelType w:val="hybridMultilevel"/>
    <w:tmpl w:val="DDB4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302AC"/>
    <w:multiLevelType w:val="hybridMultilevel"/>
    <w:tmpl w:val="53C2CAF4"/>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15:restartNumberingAfterBreak="0">
    <w:nsid w:val="5E135002"/>
    <w:multiLevelType w:val="multilevel"/>
    <w:tmpl w:val="5132452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29A6A83"/>
    <w:multiLevelType w:val="hybridMultilevel"/>
    <w:tmpl w:val="DE70F274"/>
    <w:lvl w:ilvl="0" w:tplc="048E3B6A">
      <w:start w:val="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A074E4"/>
    <w:multiLevelType w:val="multilevel"/>
    <w:tmpl w:val="45589DC8"/>
    <w:lvl w:ilvl="0">
      <w:start w:val="2"/>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3681BFB"/>
    <w:multiLevelType w:val="hybridMultilevel"/>
    <w:tmpl w:val="4A32F8BA"/>
    <w:lvl w:ilvl="0" w:tplc="048E3B6A">
      <w:start w:val="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6A3921"/>
    <w:multiLevelType w:val="hybridMultilevel"/>
    <w:tmpl w:val="1826CF78"/>
    <w:lvl w:ilvl="0" w:tplc="2BDE2C12">
      <w:start w:val="1"/>
      <w:numFmt w:val="lowerLetter"/>
      <w:lvlText w:val="%1)"/>
      <w:lvlJc w:val="left"/>
      <w:pPr>
        <w:ind w:left="928"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20" w15:restartNumberingAfterBreak="0">
    <w:nsid w:val="762E02C3"/>
    <w:multiLevelType w:val="multilevel"/>
    <w:tmpl w:val="79065CFE"/>
    <w:lvl w:ilvl="0">
      <w:start w:val="1"/>
      <w:numFmt w:val="upperRoman"/>
      <w:lvlText w:val="%1."/>
      <w:lvlJc w:val="right"/>
      <w:pPr>
        <w:tabs>
          <w:tab w:val="num" w:pos="720"/>
        </w:tabs>
        <w:ind w:left="720" w:firstLine="709"/>
      </w:pPr>
      <w:rPr>
        <w:rFonts w:cs="Times New Roman"/>
      </w:rPr>
    </w:lvl>
    <w:lvl w:ilvl="1">
      <w:start w:val="1"/>
      <w:numFmt w:val="none"/>
      <w:suff w:val="nothing"/>
      <w:lvlText w:val=""/>
      <w:lvlJc w:val="left"/>
      <w:pPr>
        <w:tabs>
          <w:tab w:val="num" w:pos="720"/>
        </w:tabs>
        <w:ind w:left="720" w:firstLine="709"/>
      </w:pPr>
      <w:rPr>
        <w:rFonts w:cs="Times New Roman"/>
      </w:rPr>
    </w:lvl>
    <w:lvl w:ilvl="2">
      <w:start w:val="1"/>
      <w:numFmt w:val="none"/>
      <w:suff w:val="nothing"/>
      <w:lvlText w:val=""/>
      <w:lvlJc w:val="left"/>
      <w:pPr>
        <w:tabs>
          <w:tab w:val="num" w:pos="720"/>
        </w:tabs>
        <w:ind w:left="720" w:firstLine="709"/>
      </w:pPr>
      <w:rPr>
        <w:rFonts w:cs="Times New Roman"/>
      </w:rPr>
    </w:lvl>
    <w:lvl w:ilvl="3">
      <w:start w:val="1"/>
      <w:numFmt w:val="none"/>
      <w:suff w:val="nothing"/>
      <w:lvlText w:val=""/>
      <w:lvlJc w:val="left"/>
      <w:pPr>
        <w:tabs>
          <w:tab w:val="num" w:pos="720"/>
        </w:tabs>
        <w:ind w:left="720" w:firstLine="709"/>
      </w:pPr>
      <w:rPr>
        <w:rFonts w:cs="Times New Roman"/>
      </w:rPr>
    </w:lvl>
    <w:lvl w:ilvl="4">
      <w:start w:val="1"/>
      <w:numFmt w:val="none"/>
      <w:suff w:val="nothing"/>
      <w:lvlText w:val=""/>
      <w:lvlJc w:val="left"/>
      <w:pPr>
        <w:tabs>
          <w:tab w:val="num" w:pos="720"/>
        </w:tabs>
        <w:ind w:left="720" w:firstLine="709"/>
      </w:pPr>
      <w:rPr>
        <w:rFonts w:cs="Times New Roman"/>
      </w:rPr>
    </w:lvl>
    <w:lvl w:ilvl="5">
      <w:start w:val="1"/>
      <w:numFmt w:val="none"/>
      <w:suff w:val="nothing"/>
      <w:lvlText w:val=""/>
      <w:lvlJc w:val="left"/>
      <w:pPr>
        <w:tabs>
          <w:tab w:val="num" w:pos="720"/>
        </w:tabs>
        <w:ind w:left="720" w:firstLine="709"/>
      </w:pPr>
      <w:rPr>
        <w:rFonts w:cs="Times New Roman"/>
      </w:rPr>
    </w:lvl>
    <w:lvl w:ilvl="6">
      <w:start w:val="1"/>
      <w:numFmt w:val="none"/>
      <w:suff w:val="nothing"/>
      <w:lvlText w:val=""/>
      <w:lvlJc w:val="left"/>
      <w:pPr>
        <w:tabs>
          <w:tab w:val="num" w:pos="720"/>
        </w:tabs>
        <w:ind w:left="720" w:firstLine="709"/>
      </w:pPr>
      <w:rPr>
        <w:rFonts w:cs="Times New Roman"/>
      </w:rPr>
    </w:lvl>
    <w:lvl w:ilvl="7">
      <w:start w:val="1"/>
      <w:numFmt w:val="none"/>
      <w:suff w:val="nothing"/>
      <w:lvlText w:val=""/>
      <w:lvlJc w:val="left"/>
      <w:pPr>
        <w:tabs>
          <w:tab w:val="num" w:pos="720"/>
        </w:tabs>
        <w:ind w:left="720" w:firstLine="709"/>
      </w:pPr>
      <w:rPr>
        <w:rFonts w:cs="Times New Roman"/>
      </w:rPr>
    </w:lvl>
    <w:lvl w:ilvl="8">
      <w:start w:val="1"/>
      <w:numFmt w:val="none"/>
      <w:suff w:val="nothing"/>
      <w:lvlText w:val=""/>
      <w:lvlJc w:val="left"/>
      <w:pPr>
        <w:tabs>
          <w:tab w:val="num" w:pos="720"/>
        </w:tabs>
        <w:ind w:left="720" w:firstLine="709"/>
      </w:pPr>
      <w:rPr>
        <w:rFonts w:cs="Times New Roman"/>
      </w:rPr>
    </w:lvl>
  </w:abstractNum>
  <w:abstractNum w:abstractNumId="21" w15:restartNumberingAfterBreak="0">
    <w:nsid w:val="766C552D"/>
    <w:multiLevelType w:val="hybridMultilevel"/>
    <w:tmpl w:val="E1FADA20"/>
    <w:lvl w:ilvl="0" w:tplc="F7C611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3"/>
  </w:num>
  <w:num w:numId="5">
    <w:abstractNumId w:val="8"/>
  </w:num>
  <w:num w:numId="6">
    <w:abstractNumId w:val="18"/>
  </w:num>
  <w:num w:numId="7">
    <w:abstractNumId w:val="9"/>
  </w:num>
  <w:num w:numId="8">
    <w:abstractNumId w:val="21"/>
  </w:num>
  <w:num w:numId="9">
    <w:abstractNumId w:val="2"/>
  </w:num>
  <w:num w:numId="10">
    <w:abstractNumId w:val="16"/>
  </w:num>
  <w:num w:numId="11">
    <w:abstractNumId w:val="5"/>
  </w:num>
  <w:num w:numId="12">
    <w:abstractNumId w:val="4"/>
  </w:num>
  <w:num w:numId="13">
    <w:abstractNumId w:val="15"/>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22"/>
    <w:rsid w:val="0000684F"/>
    <w:rsid w:val="000F4322"/>
    <w:rsid w:val="001454A8"/>
    <w:rsid w:val="00290E6E"/>
    <w:rsid w:val="002E3BD2"/>
    <w:rsid w:val="003425F4"/>
    <w:rsid w:val="003C5129"/>
    <w:rsid w:val="004602B5"/>
    <w:rsid w:val="0054684B"/>
    <w:rsid w:val="005472DA"/>
    <w:rsid w:val="006B1B3E"/>
    <w:rsid w:val="007C5A6D"/>
    <w:rsid w:val="007D3263"/>
    <w:rsid w:val="00861242"/>
    <w:rsid w:val="00A96C5E"/>
    <w:rsid w:val="00B4789D"/>
    <w:rsid w:val="00C9745E"/>
    <w:rsid w:val="00CF3853"/>
    <w:rsid w:val="00F40135"/>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7740"/>
  <w15:chartTrackingRefBased/>
  <w15:docId w15:val="{C6520449-3EF2-4452-B527-9E00F616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322"/>
    <w:pPr>
      <w:spacing w:after="0" w:line="240" w:lineRule="auto"/>
      <w:ind w:firstLine="720"/>
      <w:jc w:val="both"/>
    </w:pPr>
    <w:rPr>
      <w:rFonts w:ascii="Times New Roman" w:eastAsia="Times New Roman" w:hAnsi="Times New Roman" w:cs="Times New Roman"/>
      <w:sz w:val="20"/>
      <w:szCs w:val="20"/>
      <w:lang w:val="en-US"/>
    </w:rPr>
  </w:style>
  <w:style w:type="paragraph" w:styleId="Titlu1">
    <w:name w:val="heading 1"/>
    <w:basedOn w:val="Normal"/>
    <w:next w:val="Normal"/>
    <w:link w:val="Titlu1Caracter"/>
    <w:uiPriority w:val="9"/>
    <w:qFormat/>
    <w:rsid w:val="000F4322"/>
    <w:pPr>
      <w:keepNext/>
      <w:spacing w:before="240" w:after="60"/>
      <w:outlineLvl w:val="0"/>
    </w:pPr>
    <w:rPr>
      <w:rFonts w:ascii="Arial" w:hAnsi="Arial"/>
      <w:b/>
      <w:kern w:val="28"/>
      <w:sz w:val="28"/>
    </w:rPr>
  </w:style>
  <w:style w:type="paragraph" w:styleId="Titlu2">
    <w:name w:val="heading 2"/>
    <w:basedOn w:val="Normal"/>
    <w:next w:val="Normal"/>
    <w:link w:val="Titlu2Caracter"/>
    <w:uiPriority w:val="9"/>
    <w:qFormat/>
    <w:rsid w:val="000F4322"/>
    <w:pPr>
      <w:keepNext/>
      <w:jc w:val="center"/>
      <w:outlineLvl w:val="1"/>
    </w:pPr>
    <w:rPr>
      <w:rFonts w:ascii="$ Benguiat_Bold" w:hAnsi="$ Benguiat_Bold"/>
      <w:b/>
      <w:sz w:val="132"/>
    </w:rPr>
  </w:style>
  <w:style w:type="paragraph" w:styleId="Titlu3">
    <w:name w:val="heading 3"/>
    <w:basedOn w:val="Normal"/>
    <w:next w:val="Normal"/>
    <w:link w:val="Titlu3Caracter"/>
    <w:qFormat/>
    <w:rsid w:val="000F4322"/>
    <w:pPr>
      <w:keepNext/>
      <w:jc w:val="center"/>
      <w:outlineLvl w:val="2"/>
    </w:pPr>
    <w:rPr>
      <w:rFonts w:ascii="$Caslon" w:hAnsi="$Caslon"/>
      <w:b/>
    </w:rPr>
  </w:style>
  <w:style w:type="paragraph" w:styleId="Titlu4">
    <w:name w:val="heading 4"/>
    <w:basedOn w:val="Normal"/>
    <w:next w:val="Normal"/>
    <w:link w:val="Titlu4Caracter"/>
    <w:qFormat/>
    <w:rsid w:val="000F4322"/>
    <w:pPr>
      <w:keepNext/>
      <w:jc w:val="center"/>
      <w:outlineLvl w:val="3"/>
    </w:pPr>
    <w:rPr>
      <w:rFonts w:ascii="$Caslon" w:hAnsi="$Caslon"/>
      <w:b/>
      <w:sz w:val="26"/>
    </w:rPr>
  </w:style>
  <w:style w:type="paragraph" w:styleId="Titlu5">
    <w:name w:val="heading 5"/>
    <w:basedOn w:val="Normal"/>
    <w:next w:val="Normal"/>
    <w:link w:val="Titlu5Caracter"/>
    <w:qFormat/>
    <w:rsid w:val="000F4322"/>
    <w:pPr>
      <w:keepNext/>
      <w:jc w:val="center"/>
      <w:outlineLvl w:val="4"/>
    </w:pPr>
    <w:rPr>
      <w:rFonts w:ascii="$Caslon" w:hAnsi="$Caslon"/>
      <w:sz w:val="24"/>
    </w:rPr>
  </w:style>
  <w:style w:type="paragraph" w:styleId="Titlu6">
    <w:name w:val="heading 6"/>
    <w:basedOn w:val="Normal"/>
    <w:next w:val="Normal"/>
    <w:link w:val="Titlu6Caracter"/>
    <w:qFormat/>
    <w:rsid w:val="000F4322"/>
    <w:pPr>
      <w:keepNext/>
      <w:jc w:val="center"/>
      <w:outlineLvl w:val="5"/>
    </w:pPr>
    <w:rPr>
      <w:rFonts w:ascii="$Caslon" w:hAnsi="$Caslon"/>
      <w:b/>
      <w:sz w:val="22"/>
    </w:rPr>
  </w:style>
  <w:style w:type="paragraph" w:styleId="Titlu7">
    <w:name w:val="heading 7"/>
    <w:basedOn w:val="Normal"/>
    <w:next w:val="Normal"/>
    <w:link w:val="Titlu7Caracter"/>
    <w:uiPriority w:val="99"/>
    <w:qFormat/>
    <w:rsid w:val="000F4322"/>
    <w:pPr>
      <w:keepNext/>
      <w:jc w:val="center"/>
      <w:outlineLvl w:val="6"/>
    </w:pPr>
    <w:rPr>
      <w:rFonts w:ascii="Garamond" w:hAnsi="Garamond"/>
      <w:b/>
      <w:sz w:val="28"/>
    </w:rPr>
  </w:style>
  <w:style w:type="paragraph" w:styleId="Titlu8">
    <w:name w:val="heading 8"/>
    <w:basedOn w:val="Normal"/>
    <w:next w:val="Normal"/>
    <w:link w:val="Titlu8Caracter"/>
    <w:uiPriority w:val="99"/>
    <w:qFormat/>
    <w:rsid w:val="000F4322"/>
    <w:pPr>
      <w:keepNext/>
      <w:jc w:val="center"/>
      <w:outlineLvl w:val="7"/>
    </w:pPr>
    <w:rPr>
      <w:rFonts w:ascii="$Caslon" w:hAnsi="$Caslon"/>
      <w:b/>
      <w:sz w:val="24"/>
    </w:rPr>
  </w:style>
  <w:style w:type="paragraph" w:styleId="Titlu9">
    <w:name w:val="heading 9"/>
    <w:basedOn w:val="Normal"/>
    <w:next w:val="Normal"/>
    <w:link w:val="Titlu9Caracter"/>
    <w:uiPriority w:val="99"/>
    <w:semiHidden/>
    <w:unhideWhenUsed/>
    <w:qFormat/>
    <w:rsid w:val="000F4322"/>
    <w:pPr>
      <w:tabs>
        <w:tab w:val="num" w:pos="0"/>
        <w:tab w:val="left" w:pos="3528"/>
      </w:tabs>
      <w:suppressAutoHyphens/>
      <w:spacing w:before="240" w:after="60"/>
      <w:ind w:left="1764" w:hanging="1584"/>
      <w:jc w:val="left"/>
      <w:outlineLvl w:val="8"/>
    </w:pPr>
    <w:rPr>
      <w:rFonts w:ascii="Arial" w:hAnsi="Arial"/>
      <w:sz w:val="22"/>
      <w:szCs w:val="22"/>
      <w:lang w:val="ru-RU"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F4322"/>
    <w:rPr>
      <w:rFonts w:ascii="Arial" w:eastAsia="Times New Roman" w:hAnsi="Arial" w:cs="Times New Roman"/>
      <w:b/>
      <w:kern w:val="28"/>
      <w:sz w:val="28"/>
      <w:szCs w:val="20"/>
      <w:lang w:val="en-US"/>
    </w:rPr>
  </w:style>
  <w:style w:type="character" w:customStyle="1" w:styleId="Titlu2Caracter">
    <w:name w:val="Titlu 2 Caracter"/>
    <w:basedOn w:val="Fontdeparagrafimplicit"/>
    <w:link w:val="Titlu2"/>
    <w:uiPriority w:val="9"/>
    <w:rsid w:val="000F4322"/>
    <w:rPr>
      <w:rFonts w:ascii="$ Benguiat_Bold" w:eastAsia="Times New Roman" w:hAnsi="$ Benguiat_Bold" w:cs="Times New Roman"/>
      <w:b/>
      <w:sz w:val="132"/>
      <w:szCs w:val="20"/>
      <w:lang w:val="en-US"/>
    </w:rPr>
  </w:style>
  <w:style w:type="character" w:customStyle="1" w:styleId="Titlu3Caracter">
    <w:name w:val="Titlu 3 Caracter"/>
    <w:basedOn w:val="Fontdeparagrafimplicit"/>
    <w:link w:val="Titlu3"/>
    <w:rsid w:val="000F4322"/>
    <w:rPr>
      <w:rFonts w:ascii="$Caslon" w:eastAsia="Times New Roman" w:hAnsi="$Caslon" w:cs="Times New Roman"/>
      <w:b/>
      <w:sz w:val="20"/>
      <w:szCs w:val="20"/>
      <w:lang w:val="en-US"/>
    </w:rPr>
  </w:style>
  <w:style w:type="character" w:customStyle="1" w:styleId="Titlu4Caracter">
    <w:name w:val="Titlu 4 Caracter"/>
    <w:basedOn w:val="Fontdeparagrafimplicit"/>
    <w:link w:val="Titlu4"/>
    <w:rsid w:val="000F4322"/>
    <w:rPr>
      <w:rFonts w:ascii="$Caslon" w:eastAsia="Times New Roman" w:hAnsi="$Caslon" w:cs="Times New Roman"/>
      <w:b/>
      <w:sz w:val="26"/>
      <w:szCs w:val="20"/>
      <w:lang w:val="en-US"/>
    </w:rPr>
  </w:style>
  <w:style w:type="character" w:customStyle="1" w:styleId="Titlu5Caracter">
    <w:name w:val="Titlu 5 Caracter"/>
    <w:basedOn w:val="Fontdeparagrafimplicit"/>
    <w:link w:val="Titlu5"/>
    <w:rsid w:val="000F4322"/>
    <w:rPr>
      <w:rFonts w:ascii="$Caslon" w:eastAsia="Times New Roman" w:hAnsi="$Caslon" w:cs="Times New Roman"/>
      <w:sz w:val="24"/>
      <w:szCs w:val="20"/>
      <w:lang w:val="en-US"/>
    </w:rPr>
  </w:style>
  <w:style w:type="character" w:customStyle="1" w:styleId="Titlu6Caracter">
    <w:name w:val="Titlu 6 Caracter"/>
    <w:basedOn w:val="Fontdeparagrafimplicit"/>
    <w:link w:val="Titlu6"/>
    <w:rsid w:val="000F4322"/>
    <w:rPr>
      <w:rFonts w:ascii="$Caslon" w:eastAsia="Times New Roman" w:hAnsi="$Caslon" w:cs="Times New Roman"/>
      <w:b/>
      <w:szCs w:val="20"/>
      <w:lang w:val="en-US"/>
    </w:rPr>
  </w:style>
  <w:style w:type="character" w:customStyle="1" w:styleId="Titlu7Caracter">
    <w:name w:val="Titlu 7 Caracter"/>
    <w:basedOn w:val="Fontdeparagrafimplicit"/>
    <w:link w:val="Titlu7"/>
    <w:uiPriority w:val="99"/>
    <w:rsid w:val="000F4322"/>
    <w:rPr>
      <w:rFonts w:ascii="Garamond" w:eastAsia="Times New Roman" w:hAnsi="Garamond" w:cs="Times New Roman"/>
      <w:b/>
      <w:sz w:val="28"/>
      <w:szCs w:val="20"/>
      <w:lang w:val="en-US"/>
    </w:rPr>
  </w:style>
  <w:style w:type="character" w:customStyle="1" w:styleId="Titlu8Caracter">
    <w:name w:val="Titlu 8 Caracter"/>
    <w:basedOn w:val="Fontdeparagrafimplicit"/>
    <w:link w:val="Titlu8"/>
    <w:uiPriority w:val="99"/>
    <w:rsid w:val="000F4322"/>
    <w:rPr>
      <w:rFonts w:ascii="$Caslon" w:eastAsia="Times New Roman" w:hAnsi="$Caslon" w:cs="Times New Roman"/>
      <w:b/>
      <w:sz w:val="24"/>
      <w:szCs w:val="20"/>
      <w:lang w:val="en-US"/>
    </w:rPr>
  </w:style>
  <w:style w:type="character" w:customStyle="1" w:styleId="Titlu9Caracter">
    <w:name w:val="Titlu 9 Caracter"/>
    <w:basedOn w:val="Fontdeparagrafimplicit"/>
    <w:link w:val="Titlu9"/>
    <w:uiPriority w:val="99"/>
    <w:semiHidden/>
    <w:rsid w:val="000F4322"/>
    <w:rPr>
      <w:rFonts w:ascii="Arial" w:eastAsia="Times New Roman" w:hAnsi="Arial" w:cs="Times New Roman"/>
      <w:lang w:val="ru-RU" w:eastAsia="ar-SA"/>
    </w:rPr>
  </w:style>
  <w:style w:type="paragraph" w:styleId="TextnBalon">
    <w:name w:val="Balloon Text"/>
    <w:basedOn w:val="Normal"/>
    <w:link w:val="TextnBalonCaracter"/>
    <w:uiPriority w:val="99"/>
    <w:rsid w:val="000F4322"/>
    <w:rPr>
      <w:rFonts w:ascii="Tahoma" w:hAnsi="Tahoma"/>
      <w:sz w:val="16"/>
      <w:szCs w:val="16"/>
    </w:rPr>
  </w:style>
  <w:style w:type="character" w:customStyle="1" w:styleId="TextnBalonCaracter">
    <w:name w:val="Text în Balon Caracter"/>
    <w:basedOn w:val="Fontdeparagrafimplicit"/>
    <w:link w:val="TextnBalon"/>
    <w:uiPriority w:val="99"/>
    <w:rsid w:val="000F4322"/>
    <w:rPr>
      <w:rFonts w:ascii="Tahoma" w:eastAsia="Times New Roman" w:hAnsi="Tahoma" w:cs="Times New Roman"/>
      <w:sz w:val="16"/>
      <w:szCs w:val="16"/>
      <w:lang w:val="en-US"/>
    </w:rPr>
  </w:style>
  <w:style w:type="paragraph" w:customStyle="1" w:styleId="CharChar">
    <w:name w:val="Знак Знак Char Char Знак"/>
    <w:basedOn w:val="Normal"/>
    <w:uiPriority w:val="99"/>
    <w:rsid w:val="000F4322"/>
    <w:pPr>
      <w:spacing w:after="160" w:line="240" w:lineRule="exact"/>
      <w:ind w:firstLine="0"/>
      <w:jc w:val="left"/>
    </w:pPr>
    <w:rPr>
      <w:rFonts w:ascii="Arial" w:eastAsia="Batang" w:hAnsi="Arial" w:cs="Arial"/>
    </w:rPr>
  </w:style>
  <w:style w:type="paragraph" w:styleId="NormalWeb">
    <w:name w:val="Normal (Web)"/>
    <w:aliases w:val="Знак"/>
    <w:basedOn w:val="Normal"/>
    <w:link w:val="NormalWebCaracter"/>
    <w:uiPriority w:val="99"/>
    <w:unhideWhenUsed/>
    <w:rsid w:val="000F4322"/>
    <w:pPr>
      <w:ind w:firstLine="567"/>
    </w:pPr>
    <w:rPr>
      <w:sz w:val="24"/>
      <w:szCs w:val="24"/>
      <w:lang w:val="ru-RU" w:eastAsia="ru-RU"/>
    </w:rPr>
  </w:style>
  <w:style w:type="paragraph" w:customStyle="1" w:styleId="cn">
    <w:name w:val="cn"/>
    <w:basedOn w:val="Normal"/>
    <w:uiPriority w:val="99"/>
    <w:rsid w:val="000F4322"/>
    <w:pPr>
      <w:ind w:firstLine="0"/>
      <w:jc w:val="center"/>
    </w:pPr>
    <w:rPr>
      <w:sz w:val="24"/>
      <w:szCs w:val="24"/>
      <w:lang w:val="ru-RU" w:eastAsia="ru-RU"/>
    </w:rPr>
  </w:style>
  <w:style w:type="paragraph" w:customStyle="1" w:styleId="cb">
    <w:name w:val="cb"/>
    <w:basedOn w:val="Normal"/>
    <w:uiPriority w:val="99"/>
    <w:rsid w:val="000F4322"/>
    <w:pPr>
      <w:ind w:firstLine="0"/>
      <w:jc w:val="center"/>
    </w:pPr>
    <w:rPr>
      <w:b/>
      <w:bCs/>
      <w:sz w:val="24"/>
      <w:szCs w:val="24"/>
      <w:lang w:val="ru-RU" w:eastAsia="ru-RU"/>
    </w:rPr>
  </w:style>
  <w:style w:type="paragraph" w:styleId="Antet">
    <w:name w:val="header"/>
    <w:basedOn w:val="Normal"/>
    <w:link w:val="AntetCaracter"/>
    <w:uiPriority w:val="99"/>
    <w:rsid w:val="000F4322"/>
    <w:pPr>
      <w:tabs>
        <w:tab w:val="center" w:pos="4677"/>
        <w:tab w:val="right" w:pos="9355"/>
      </w:tabs>
    </w:pPr>
  </w:style>
  <w:style w:type="character" w:customStyle="1" w:styleId="AntetCaracter">
    <w:name w:val="Antet Caracter"/>
    <w:basedOn w:val="Fontdeparagrafimplicit"/>
    <w:link w:val="Antet"/>
    <w:uiPriority w:val="99"/>
    <w:rsid w:val="000F4322"/>
    <w:rPr>
      <w:rFonts w:ascii="Times New Roman" w:eastAsia="Times New Roman" w:hAnsi="Times New Roman" w:cs="Times New Roman"/>
      <w:sz w:val="20"/>
      <w:szCs w:val="20"/>
      <w:lang w:val="en-US"/>
    </w:rPr>
  </w:style>
  <w:style w:type="paragraph" w:styleId="Subsol">
    <w:name w:val="footer"/>
    <w:basedOn w:val="Normal"/>
    <w:link w:val="SubsolCaracter"/>
    <w:uiPriority w:val="99"/>
    <w:rsid w:val="000F4322"/>
    <w:pPr>
      <w:tabs>
        <w:tab w:val="center" w:pos="4677"/>
        <w:tab w:val="right" w:pos="9355"/>
      </w:tabs>
    </w:pPr>
  </w:style>
  <w:style w:type="character" w:customStyle="1" w:styleId="SubsolCaracter">
    <w:name w:val="Subsol Caracter"/>
    <w:basedOn w:val="Fontdeparagrafimplicit"/>
    <w:link w:val="Subsol"/>
    <w:uiPriority w:val="99"/>
    <w:rsid w:val="000F4322"/>
    <w:rPr>
      <w:rFonts w:ascii="Times New Roman" w:eastAsia="Times New Roman" w:hAnsi="Times New Roman" w:cs="Times New Roman"/>
      <w:sz w:val="20"/>
      <w:szCs w:val="20"/>
      <w:lang w:val="en-US"/>
    </w:rPr>
  </w:style>
  <w:style w:type="table" w:styleId="Tabelgril">
    <w:name w:val="Table Grid"/>
    <w:basedOn w:val="TabelNormal"/>
    <w:uiPriority w:val="59"/>
    <w:rsid w:val="000F432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uiPriority w:val="99"/>
    <w:rsid w:val="000F4322"/>
    <w:pPr>
      <w:ind w:firstLine="0"/>
      <w:jc w:val="left"/>
    </w:pPr>
    <w:rPr>
      <w:rFonts w:ascii="Arial" w:hAnsi="Arial" w:cs="Arial"/>
      <w:lang w:val="ru-RU" w:eastAsia="ru-RU"/>
    </w:rPr>
  </w:style>
  <w:style w:type="table" w:customStyle="1" w:styleId="GrilTabel1">
    <w:name w:val="Grilă Tabel1"/>
    <w:basedOn w:val="TabelNormal"/>
    <w:next w:val="Tabelgril"/>
    <w:uiPriority w:val="59"/>
    <w:rsid w:val="000F4322"/>
    <w:pPr>
      <w:spacing w:after="0" w:line="240" w:lineRule="auto"/>
    </w:pPr>
    <w:rPr>
      <w:rFonts w:ascii="Calibri" w:eastAsia="Calibri" w:hAnsi="Calibri" w:cs="Times New Roman"/>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link w:val="ListparagrafCaracter"/>
    <w:uiPriority w:val="34"/>
    <w:qFormat/>
    <w:rsid w:val="000F4322"/>
    <w:pPr>
      <w:ind w:left="720"/>
      <w:contextualSpacing/>
    </w:pPr>
  </w:style>
  <w:style w:type="numbering" w:customStyle="1" w:styleId="FrListare1">
    <w:name w:val="Fără Listare1"/>
    <w:next w:val="FrListare"/>
    <w:semiHidden/>
    <w:rsid w:val="000F4322"/>
  </w:style>
  <w:style w:type="character" w:styleId="Numrdepagin">
    <w:name w:val="page number"/>
    <w:basedOn w:val="Fontdeparagrafimplicit"/>
    <w:rsid w:val="000F4322"/>
  </w:style>
  <w:style w:type="paragraph" w:customStyle="1" w:styleId="tt">
    <w:name w:val="tt"/>
    <w:basedOn w:val="Normal"/>
    <w:uiPriority w:val="99"/>
    <w:rsid w:val="000F4322"/>
    <w:pPr>
      <w:ind w:firstLine="0"/>
      <w:jc w:val="center"/>
    </w:pPr>
    <w:rPr>
      <w:b/>
      <w:bCs/>
      <w:sz w:val="24"/>
      <w:szCs w:val="24"/>
      <w:lang w:val="ru-RU" w:eastAsia="ru-RU"/>
    </w:rPr>
  </w:style>
  <w:style w:type="paragraph" w:customStyle="1" w:styleId="CharChar0">
    <w:name w:val="Char Char Знак Знак"/>
    <w:basedOn w:val="Normal"/>
    <w:uiPriority w:val="99"/>
    <w:rsid w:val="000F4322"/>
    <w:pPr>
      <w:spacing w:after="160" w:line="240" w:lineRule="exact"/>
      <w:ind w:firstLine="0"/>
      <w:jc w:val="left"/>
    </w:pPr>
    <w:rPr>
      <w:rFonts w:ascii="Arial" w:eastAsia="Batang" w:hAnsi="Arial" w:cs="Arial"/>
    </w:rPr>
  </w:style>
  <w:style w:type="character" w:customStyle="1" w:styleId="docheader1">
    <w:name w:val="doc_header1"/>
    <w:rsid w:val="000F4322"/>
    <w:rPr>
      <w:rFonts w:ascii="Times New Roman" w:hAnsi="Times New Roman" w:cs="Times New Roman" w:hint="default"/>
      <w:b/>
      <w:bCs/>
      <w:color w:val="000000"/>
      <w:sz w:val="24"/>
      <w:szCs w:val="24"/>
    </w:rPr>
  </w:style>
  <w:style w:type="character" w:styleId="Robust">
    <w:name w:val="Strong"/>
    <w:uiPriority w:val="22"/>
    <w:qFormat/>
    <w:rsid w:val="000F4322"/>
    <w:rPr>
      <w:b/>
      <w:bCs/>
    </w:rPr>
  </w:style>
  <w:style w:type="character" w:customStyle="1" w:styleId="docsign11">
    <w:name w:val="doc_sign11"/>
    <w:rsid w:val="000F4322"/>
    <w:rPr>
      <w:rFonts w:ascii="Times New Roman" w:hAnsi="Times New Roman" w:cs="Times New Roman" w:hint="default"/>
      <w:b/>
      <w:bCs/>
      <w:color w:val="000000"/>
      <w:sz w:val="22"/>
      <w:szCs w:val="22"/>
    </w:rPr>
  </w:style>
  <w:style w:type="character" w:customStyle="1" w:styleId="sttart">
    <w:name w:val="st_tart"/>
    <w:basedOn w:val="Fontdeparagrafimplicit"/>
    <w:rsid w:val="000F4322"/>
  </w:style>
  <w:style w:type="character" w:customStyle="1" w:styleId="tal1">
    <w:name w:val="tal1"/>
    <w:rsid w:val="000F4322"/>
  </w:style>
  <w:style w:type="table" w:customStyle="1" w:styleId="GrilTabel2">
    <w:name w:val="Grilă Tabel2"/>
    <w:basedOn w:val="TabelNormal"/>
    <w:next w:val="Tabelgril"/>
    <w:rsid w:val="000F432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0F4322"/>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0F4322"/>
  </w:style>
  <w:style w:type="paragraph" w:customStyle="1" w:styleId="cnam1">
    <w:name w:val="cnam1"/>
    <w:basedOn w:val="Normal"/>
    <w:rsid w:val="000F4322"/>
    <w:pPr>
      <w:spacing w:before="100" w:beforeAutospacing="1" w:after="100" w:afterAutospacing="1"/>
      <w:ind w:firstLine="0"/>
      <w:jc w:val="left"/>
    </w:pPr>
    <w:rPr>
      <w:color w:val="2D2D2D"/>
      <w:sz w:val="29"/>
      <w:szCs w:val="29"/>
      <w:lang w:eastAsia="zh-CN"/>
    </w:rPr>
  </w:style>
  <w:style w:type="character" w:styleId="Referincomentariu">
    <w:name w:val="annotation reference"/>
    <w:uiPriority w:val="99"/>
    <w:rsid w:val="000F4322"/>
    <w:rPr>
      <w:sz w:val="16"/>
      <w:szCs w:val="16"/>
    </w:rPr>
  </w:style>
  <w:style w:type="paragraph" w:styleId="Textcomentariu">
    <w:name w:val="annotation text"/>
    <w:basedOn w:val="Normal"/>
    <w:link w:val="TextcomentariuCaracter"/>
    <w:uiPriority w:val="99"/>
    <w:rsid w:val="000F4322"/>
    <w:pPr>
      <w:ind w:firstLine="0"/>
      <w:jc w:val="left"/>
    </w:pPr>
    <w:rPr>
      <w:lang w:val="ro-RO" w:eastAsia="ru-RU"/>
    </w:rPr>
  </w:style>
  <w:style w:type="character" w:customStyle="1" w:styleId="TextcomentariuCaracter">
    <w:name w:val="Text comentariu Caracter"/>
    <w:basedOn w:val="Fontdeparagrafimplicit"/>
    <w:link w:val="Textcomentariu"/>
    <w:uiPriority w:val="99"/>
    <w:rsid w:val="000F4322"/>
    <w:rPr>
      <w:rFonts w:ascii="Times New Roman" w:eastAsia="Times New Roman" w:hAnsi="Times New Roman" w:cs="Times New Roman"/>
      <w:sz w:val="20"/>
      <w:szCs w:val="20"/>
      <w:lang w:val="ro-RO" w:eastAsia="ru-RU"/>
    </w:rPr>
  </w:style>
  <w:style w:type="paragraph" w:styleId="SubiectComentariu">
    <w:name w:val="annotation subject"/>
    <w:basedOn w:val="Textcomentariu"/>
    <w:next w:val="Textcomentariu"/>
    <w:link w:val="SubiectComentariuCaracter"/>
    <w:uiPriority w:val="99"/>
    <w:rsid w:val="000F4322"/>
    <w:rPr>
      <w:b/>
      <w:bCs/>
    </w:rPr>
  </w:style>
  <w:style w:type="character" w:customStyle="1" w:styleId="SubiectComentariuCaracter">
    <w:name w:val="Subiect Comentariu Caracter"/>
    <w:basedOn w:val="TextcomentariuCaracter"/>
    <w:link w:val="SubiectComentariu"/>
    <w:uiPriority w:val="99"/>
    <w:rsid w:val="000F4322"/>
    <w:rPr>
      <w:rFonts w:ascii="Times New Roman" w:eastAsia="Times New Roman" w:hAnsi="Times New Roman" w:cs="Times New Roman"/>
      <w:b/>
      <w:bCs/>
      <w:sz w:val="20"/>
      <w:szCs w:val="20"/>
      <w:lang w:val="ro-RO" w:eastAsia="ru-RU"/>
    </w:rPr>
  </w:style>
  <w:style w:type="character" w:customStyle="1" w:styleId="apple-converted-space">
    <w:name w:val="apple-converted-space"/>
    <w:rsid w:val="000F4322"/>
  </w:style>
  <w:style w:type="character" w:customStyle="1" w:styleId="docheader">
    <w:name w:val="doc_header"/>
    <w:rsid w:val="000F4322"/>
  </w:style>
  <w:style w:type="paragraph" w:customStyle="1" w:styleId="Style2">
    <w:name w:val="Style2"/>
    <w:basedOn w:val="Normal"/>
    <w:uiPriority w:val="99"/>
    <w:rsid w:val="000F4322"/>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0F4322"/>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0F4322"/>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0F4322"/>
    <w:rPr>
      <w:rFonts w:ascii="Times New Roman" w:hAnsi="Times New Roman" w:cs="Times New Roman"/>
      <w:sz w:val="24"/>
      <w:szCs w:val="24"/>
    </w:rPr>
  </w:style>
  <w:style w:type="table" w:customStyle="1" w:styleId="LightList-Accent11">
    <w:name w:val="Light List - Accent 11"/>
    <w:basedOn w:val="TabelNormal"/>
    <w:uiPriority w:val="61"/>
    <w:rsid w:val="000F4322"/>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Frspaiere">
    <w:name w:val="No Spacing"/>
    <w:uiPriority w:val="1"/>
    <w:qFormat/>
    <w:rsid w:val="000F4322"/>
    <w:pPr>
      <w:spacing w:after="0" w:line="240" w:lineRule="auto"/>
    </w:pPr>
    <w:rPr>
      <w:rFonts w:ascii="Times New Roman" w:eastAsia="Times New Roman" w:hAnsi="Times New Roman" w:cs="Times New Roman"/>
      <w:sz w:val="24"/>
      <w:szCs w:val="24"/>
      <w:lang w:val="en-US"/>
    </w:rPr>
  </w:style>
  <w:style w:type="paragraph" w:styleId="Indentcorptext">
    <w:name w:val="Body Text Indent"/>
    <w:basedOn w:val="Normal"/>
    <w:link w:val="IndentcorptextCaracter"/>
    <w:uiPriority w:val="99"/>
    <w:rsid w:val="000F4322"/>
    <w:pPr>
      <w:suppressAutoHyphens/>
      <w:ind w:firstLine="700"/>
    </w:pPr>
    <w:rPr>
      <w:sz w:val="26"/>
      <w:szCs w:val="26"/>
      <w:lang w:val="ro-RO" w:eastAsia="ar-SA"/>
    </w:rPr>
  </w:style>
  <w:style w:type="character" w:customStyle="1" w:styleId="IndentcorptextCaracter">
    <w:name w:val="Indent corp text Caracter"/>
    <w:basedOn w:val="Fontdeparagrafimplicit"/>
    <w:link w:val="Indentcorptext"/>
    <w:uiPriority w:val="99"/>
    <w:rsid w:val="000F4322"/>
    <w:rPr>
      <w:rFonts w:ascii="Times New Roman" w:eastAsia="Times New Roman" w:hAnsi="Times New Roman" w:cs="Times New Roman"/>
      <w:sz w:val="26"/>
      <w:szCs w:val="26"/>
      <w:lang w:val="ro-RO" w:eastAsia="ar-SA"/>
    </w:rPr>
  </w:style>
  <w:style w:type="paragraph" w:styleId="Corptext">
    <w:name w:val="Body Text"/>
    <w:basedOn w:val="Normal"/>
    <w:link w:val="CorptextCaracter"/>
    <w:uiPriority w:val="99"/>
    <w:unhideWhenUsed/>
    <w:rsid w:val="000F4322"/>
    <w:pPr>
      <w:spacing w:after="120" w:line="276" w:lineRule="auto"/>
      <w:ind w:firstLine="0"/>
      <w:jc w:val="left"/>
    </w:pPr>
    <w:rPr>
      <w:rFonts w:ascii="Calibri" w:eastAsia="Calibri" w:hAnsi="Calibri"/>
      <w:sz w:val="22"/>
      <w:szCs w:val="22"/>
      <w:lang w:val="ro-RO"/>
    </w:rPr>
  </w:style>
  <w:style w:type="character" w:customStyle="1" w:styleId="CorptextCaracter">
    <w:name w:val="Corp text Caracter"/>
    <w:basedOn w:val="Fontdeparagrafimplicit"/>
    <w:link w:val="Corptext"/>
    <w:uiPriority w:val="99"/>
    <w:rsid w:val="000F4322"/>
    <w:rPr>
      <w:rFonts w:ascii="Calibri" w:eastAsia="Calibri" w:hAnsi="Calibri" w:cs="Times New Roman"/>
      <w:lang w:val="ro-RO"/>
    </w:rPr>
  </w:style>
  <w:style w:type="paragraph" w:customStyle="1" w:styleId="Default">
    <w:name w:val="Default"/>
    <w:uiPriority w:val="99"/>
    <w:rsid w:val="000F4322"/>
    <w:pPr>
      <w:autoSpaceDE w:val="0"/>
      <w:autoSpaceDN w:val="0"/>
      <w:adjustRightInd w:val="0"/>
      <w:spacing w:after="0" w:line="240" w:lineRule="auto"/>
    </w:pPr>
    <w:rPr>
      <w:rFonts w:ascii="Palatino Linotype" w:hAnsi="Palatino Linotype" w:cs="Palatino Linotype"/>
      <w:color w:val="000000"/>
      <w:sz w:val="24"/>
      <w:szCs w:val="24"/>
      <w:lang w:val="en-US"/>
    </w:rPr>
  </w:style>
  <w:style w:type="table" w:styleId="Listdeculoaredeschis-Accentuare5">
    <w:name w:val="Light List Accent 5"/>
    <w:basedOn w:val="TabelNormal"/>
    <w:uiPriority w:val="61"/>
    <w:rsid w:val="000F4322"/>
    <w:pPr>
      <w:spacing w:after="0" w:line="240" w:lineRule="auto"/>
    </w:pPr>
    <w:rPr>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Textnotdesubsol">
    <w:name w:val="footnote text"/>
    <w:aliases w:val="fn,single space,FOOTNOTES"/>
    <w:basedOn w:val="Normal"/>
    <w:link w:val="TextnotdesubsolCaracter"/>
    <w:uiPriority w:val="99"/>
    <w:rsid w:val="000F4322"/>
    <w:pPr>
      <w:spacing w:after="240"/>
      <w:ind w:firstLine="0"/>
      <w:jc w:val="left"/>
    </w:pPr>
    <w:rPr>
      <w:sz w:val="24"/>
      <w:lang w:val="ro-RO"/>
    </w:rPr>
  </w:style>
  <w:style w:type="character" w:customStyle="1" w:styleId="TextnotdesubsolCaracter">
    <w:name w:val="Text notă de subsol Caracter"/>
    <w:aliases w:val="fn Caracter,single space Caracter,FOOTNOTES Caracter"/>
    <w:basedOn w:val="Fontdeparagrafimplicit"/>
    <w:link w:val="Textnotdesubsol"/>
    <w:uiPriority w:val="99"/>
    <w:rsid w:val="000F4322"/>
    <w:rPr>
      <w:rFonts w:ascii="Times New Roman" w:eastAsia="Times New Roman" w:hAnsi="Times New Roman" w:cs="Times New Roman"/>
      <w:sz w:val="24"/>
      <w:szCs w:val="20"/>
      <w:lang w:val="ro-RO"/>
    </w:rPr>
  </w:style>
  <w:style w:type="character" w:styleId="Referinnotdesubsol">
    <w:name w:val="footnote reference"/>
    <w:basedOn w:val="Fontdeparagrafimplicit"/>
    <w:uiPriority w:val="99"/>
    <w:rsid w:val="000F4322"/>
    <w:rPr>
      <w:vertAlign w:val="superscript"/>
    </w:rPr>
  </w:style>
  <w:style w:type="paragraph" w:customStyle="1" w:styleId="ParagraphNumbering">
    <w:name w:val="Paragraph Numbering"/>
    <w:basedOn w:val="Normal"/>
    <w:link w:val="ParagraphNumberingChar"/>
    <w:qFormat/>
    <w:rsid w:val="000F4322"/>
    <w:pPr>
      <w:numPr>
        <w:ilvl w:val="1"/>
        <w:numId w:val="4"/>
      </w:numPr>
      <w:tabs>
        <w:tab w:val="clear" w:pos="720"/>
        <w:tab w:val="num" w:pos="1287"/>
      </w:tabs>
      <w:spacing w:after="240" w:line="264" w:lineRule="auto"/>
      <w:ind w:left="567"/>
      <w:jc w:val="left"/>
    </w:pPr>
    <w:rPr>
      <w:snapToGrid w:val="0"/>
      <w:sz w:val="24"/>
      <w:szCs w:val="24"/>
    </w:rPr>
  </w:style>
  <w:style w:type="character" w:customStyle="1" w:styleId="ParagraphNumberingChar">
    <w:name w:val="Paragraph Numbering Char"/>
    <w:basedOn w:val="Fontdeparagrafimplicit"/>
    <w:link w:val="ParagraphNumbering"/>
    <w:rsid w:val="000F4322"/>
    <w:rPr>
      <w:rFonts w:ascii="Times New Roman" w:eastAsia="Times New Roman" w:hAnsi="Times New Roman" w:cs="Times New Roman"/>
      <w:snapToGrid w:val="0"/>
      <w:sz w:val="24"/>
      <w:szCs w:val="24"/>
      <w:lang w:val="en-US"/>
    </w:rPr>
  </w:style>
  <w:style w:type="character" w:styleId="Hyperlink">
    <w:name w:val="Hyperlink"/>
    <w:basedOn w:val="Fontdeparagrafimplicit"/>
    <w:uiPriority w:val="99"/>
    <w:unhideWhenUsed/>
    <w:rsid w:val="000F4322"/>
    <w:rPr>
      <w:color w:val="0000FF"/>
      <w:u w:val="single"/>
    </w:rPr>
  </w:style>
  <w:style w:type="character" w:customStyle="1" w:styleId="FontStyle32">
    <w:name w:val="Font Style32"/>
    <w:basedOn w:val="Fontdeparagrafimplicit"/>
    <w:uiPriority w:val="99"/>
    <w:rsid w:val="000F4322"/>
    <w:rPr>
      <w:rFonts w:ascii="Times New Roman" w:hAnsi="Times New Roman" w:cs="Times New Roman" w:hint="default"/>
      <w:color w:val="000000"/>
      <w:sz w:val="26"/>
      <w:szCs w:val="26"/>
    </w:rPr>
  </w:style>
  <w:style w:type="character" w:customStyle="1" w:styleId="ListparagrafCaracter">
    <w:name w:val="Listă paragraf Caracter"/>
    <w:link w:val="Listparagraf"/>
    <w:uiPriority w:val="34"/>
    <w:locked/>
    <w:rsid w:val="000F4322"/>
    <w:rPr>
      <w:rFonts w:ascii="Times New Roman" w:eastAsia="Times New Roman" w:hAnsi="Times New Roman" w:cs="Times New Roman"/>
      <w:sz w:val="20"/>
      <w:szCs w:val="20"/>
      <w:lang w:val="en-US"/>
    </w:rPr>
  </w:style>
  <w:style w:type="table" w:customStyle="1" w:styleId="LightList-Accent12">
    <w:name w:val="Light List - Accent 12"/>
    <w:basedOn w:val="TabelNormal"/>
    <w:uiPriority w:val="61"/>
    <w:rsid w:val="000F4322"/>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A2">
    <w:name w:val="A2"/>
    <w:uiPriority w:val="99"/>
    <w:rsid w:val="000F4322"/>
    <w:rPr>
      <w:color w:val="000000"/>
      <w:sz w:val="22"/>
    </w:rPr>
  </w:style>
  <w:style w:type="table" w:customStyle="1" w:styleId="GridTable4-Accent11">
    <w:name w:val="Grid Table 4 - Accent 11"/>
    <w:basedOn w:val="TabelNormal"/>
    <w:uiPriority w:val="49"/>
    <w:rsid w:val="000F4322"/>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zuire">
    <w:name w:val="Revision"/>
    <w:hidden/>
    <w:uiPriority w:val="99"/>
    <w:semiHidden/>
    <w:rsid w:val="000F4322"/>
    <w:pPr>
      <w:spacing w:after="0" w:line="240" w:lineRule="auto"/>
    </w:pPr>
    <w:rPr>
      <w:rFonts w:ascii="Calibri" w:eastAsia="Calibri" w:hAnsi="Calibri" w:cs="Times New Roman"/>
      <w:lang w:val="ro-RO"/>
    </w:rPr>
  </w:style>
  <w:style w:type="table" w:customStyle="1" w:styleId="LightList-Accent13">
    <w:name w:val="Light List - Accent 13"/>
    <w:basedOn w:val="TabelNormal"/>
    <w:uiPriority w:val="61"/>
    <w:rsid w:val="000F4322"/>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artbody">
    <w:name w:val="artbody"/>
    <w:basedOn w:val="Normal"/>
    <w:rsid w:val="000F4322"/>
    <w:pPr>
      <w:spacing w:before="100" w:beforeAutospacing="1" w:after="100" w:afterAutospacing="1"/>
      <w:ind w:firstLine="0"/>
      <w:jc w:val="left"/>
    </w:pPr>
    <w:rPr>
      <w:sz w:val="24"/>
      <w:szCs w:val="24"/>
    </w:rPr>
  </w:style>
  <w:style w:type="character" w:styleId="HyperlinkParcurs">
    <w:name w:val="FollowedHyperlink"/>
    <w:semiHidden/>
    <w:unhideWhenUsed/>
    <w:rsid w:val="000F4322"/>
    <w:rPr>
      <w:color w:val="800080"/>
      <w:u w:val="single"/>
    </w:rPr>
  </w:style>
  <w:style w:type="character" w:styleId="Accentuat">
    <w:name w:val="Emphasis"/>
    <w:qFormat/>
    <w:rsid w:val="000F4322"/>
    <w:rPr>
      <w:i/>
      <w:iCs w:val="0"/>
    </w:rPr>
  </w:style>
  <w:style w:type="paragraph" w:styleId="PreformatatHTML">
    <w:name w:val="HTML Preformatted"/>
    <w:basedOn w:val="Normal"/>
    <w:link w:val="PreformatatHTMLCaracter"/>
    <w:uiPriority w:val="99"/>
    <w:semiHidden/>
    <w:unhideWhenUsed/>
    <w:rsid w:val="000F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lang w:val="ru-RU" w:eastAsia="ru-RU"/>
    </w:rPr>
  </w:style>
  <w:style w:type="character" w:customStyle="1" w:styleId="PreformatatHTMLCaracter">
    <w:name w:val="Preformatat HTML Caracter"/>
    <w:basedOn w:val="Fontdeparagrafimplicit"/>
    <w:link w:val="PreformatatHTML"/>
    <w:uiPriority w:val="99"/>
    <w:semiHidden/>
    <w:rsid w:val="000F4322"/>
    <w:rPr>
      <w:rFonts w:ascii="Courier New" w:eastAsia="Times New Roman" w:hAnsi="Courier New" w:cs="Courier New"/>
      <w:sz w:val="20"/>
      <w:szCs w:val="20"/>
      <w:lang w:val="ru-RU" w:eastAsia="ru-RU"/>
    </w:rPr>
  </w:style>
  <w:style w:type="character" w:customStyle="1" w:styleId="NormalWebCaracter">
    <w:name w:val="Normal (Web) Caracter"/>
    <w:aliases w:val="Знак Caracter"/>
    <w:link w:val="NormalWeb"/>
    <w:uiPriority w:val="99"/>
    <w:locked/>
    <w:rsid w:val="000F4322"/>
    <w:rPr>
      <w:rFonts w:ascii="Times New Roman" w:eastAsia="Times New Roman" w:hAnsi="Times New Roman" w:cs="Times New Roman"/>
      <w:sz w:val="24"/>
      <w:szCs w:val="24"/>
      <w:lang w:val="ru-RU" w:eastAsia="ru-RU"/>
    </w:rPr>
  </w:style>
  <w:style w:type="paragraph" w:customStyle="1" w:styleId="msonormal0">
    <w:name w:val="msonormal"/>
    <w:basedOn w:val="Normal"/>
    <w:uiPriority w:val="99"/>
    <w:rsid w:val="000F4322"/>
    <w:pPr>
      <w:ind w:firstLine="567"/>
    </w:pPr>
    <w:rPr>
      <w:sz w:val="24"/>
      <w:szCs w:val="24"/>
      <w:lang w:val="ru-RU" w:eastAsia="ru-RU"/>
    </w:rPr>
  </w:style>
  <w:style w:type="paragraph" w:styleId="Cuprins1">
    <w:name w:val="toc 1"/>
    <w:basedOn w:val="Normal"/>
    <w:next w:val="Normal"/>
    <w:autoRedefine/>
    <w:uiPriority w:val="39"/>
    <w:semiHidden/>
    <w:unhideWhenUsed/>
    <w:rsid w:val="000F4322"/>
    <w:pPr>
      <w:widowControl w:val="0"/>
      <w:spacing w:before="120"/>
      <w:ind w:firstLine="0"/>
      <w:jc w:val="left"/>
    </w:pPr>
    <w:rPr>
      <w:rFonts w:ascii="Calibri" w:eastAsia="Courier New" w:hAnsi="Calibri" w:cs="Courier New"/>
      <w:b/>
      <w:bCs/>
      <w:i/>
      <w:iCs/>
      <w:color w:val="000000"/>
      <w:sz w:val="24"/>
      <w:szCs w:val="24"/>
      <w:lang w:val="ro-RO" w:eastAsia="ru-RU"/>
    </w:rPr>
  </w:style>
  <w:style w:type="paragraph" w:styleId="Cuprins2">
    <w:name w:val="toc 2"/>
    <w:basedOn w:val="Normal"/>
    <w:next w:val="Normal"/>
    <w:autoRedefine/>
    <w:uiPriority w:val="39"/>
    <w:semiHidden/>
    <w:unhideWhenUsed/>
    <w:rsid w:val="000F4322"/>
    <w:pPr>
      <w:widowControl w:val="0"/>
      <w:spacing w:before="120"/>
      <w:ind w:left="240" w:firstLine="0"/>
      <w:jc w:val="left"/>
    </w:pPr>
    <w:rPr>
      <w:rFonts w:ascii="Calibri" w:eastAsia="Courier New" w:hAnsi="Calibri" w:cs="Courier New"/>
      <w:b/>
      <w:bCs/>
      <w:color w:val="000000"/>
      <w:sz w:val="22"/>
      <w:szCs w:val="22"/>
      <w:lang w:val="ro-RO" w:eastAsia="ru-RU"/>
    </w:rPr>
  </w:style>
  <w:style w:type="paragraph" w:styleId="Cuprins3">
    <w:name w:val="toc 3"/>
    <w:basedOn w:val="Normal"/>
    <w:next w:val="Normal"/>
    <w:autoRedefine/>
    <w:uiPriority w:val="39"/>
    <w:semiHidden/>
    <w:unhideWhenUsed/>
    <w:rsid w:val="000F4322"/>
    <w:pPr>
      <w:widowControl w:val="0"/>
      <w:ind w:left="480" w:firstLine="0"/>
      <w:jc w:val="left"/>
    </w:pPr>
    <w:rPr>
      <w:rFonts w:ascii="Calibri" w:eastAsia="Courier New" w:hAnsi="Calibri" w:cs="Courier New"/>
      <w:color w:val="000000"/>
      <w:lang w:val="ro-RO" w:eastAsia="ru-RU"/>
    </w:rPr>
  </w:style>
  <w:style w:type="paragraph" w:styleId="Cuprins4">
    <w:name w:val="toc 4"/>
    <w:basedOn w:val="Normal"/>
    <w:next w:val="Normal"/>
    <w:autoRedefine/>
    <w:uiPriority w:val="39"/>
    <w:semiHidden/>
    <w:unhideWhenUsed/>
    <w:rsid w:val="000F4322"/>
    <w:pPr>
      <w:widowControl w:val="0"/>
      <w:ind w:left="720" w:firstLine="0"/>
      <w:jc w:val="left"/>
    </w:pPr>
    <w:rPr>
      <w:rFonts w:ascii="Calibri" w:eastAsia="Courier New" w:hAnsi="Calibri" w:cs="Courier New"/>
      <w:color w:val="000000"/>
      <w:lang w:val="ro-RO" w:eastAsia="ru-RU"/>
    </w:rPr>
  </w:style>
  <w:style w:type="paragraph" w:styleId="Cuprins5">
    <w:name w:val="toc 5"/>
    <w:basedOn w:val="Normal"/>
    <w:next w:val="Normal"/>
    <w:autoRedefine/>
    <w:uiPriority w:val="39"/>
    <w:semiHidden/>
    <w:unhideWhenUsed/>
    <w:rsid w:val="000F4322"/>
    <w:pPr>
      <w:widowControl w:val="0"/>
      <w:ind w:left="960" w:firstLine="0"/>
      <w:jc w:val="left"/>
    </w:pPr>
    <w:rPr>
      <w:rFonts w:ascii="Calibri" w:eastAsia="Courier New" w:hAnsi="Calibri" w:cs="Courier New"/>
      <w:color w:val="000000"/>
      <w:lang w:val="ro-RO" w:eastAsia="ru-RU"/>
    </w:rPr>
  </w:style>
  <w:style w:type="paragraph" w:styleId="Cuprins6">
    <w:name w:val="toc 6"/>
    <w:basedOn w:val="Normal"/>
    <w:next w:val="Normal"/>
    <w:autoRedefine/>
    <w:uiPriority w:val="39"/>
    <w:semiHidden/>
    <w:unhideWhenUsed/>
    <w:rsid w:val="000F4322"/>
    <w:pPr>
      <w:widowControl w:val="0"/>
      <w:ind w:left="1200" w:firstLine="0"/>
      <w:jc w:val="left"/>
    </w:pPr>
    <w:rPr>
      <w:rFonts w:ascii="Calibri" w:eastAsia="Courier New" w:hAnsi="Calibri" w:cs="Courier New"/>
      <w:color w:val="000000"/>
      <w:lang w:val="ro-RO" w:eastAsia="ru-RU"/>
    </w:rPr>
  </w:style>
  <w:style w:type="paragraph" w:styleId="Cuprins7">
    <w:name w:val="toc 7"/>
    <w:basedOn w:val="Normal"/>
    <w:next w:val="Normal"/>
    <w:autoRedefine/>
    <w:uiPriority w:val="39"/>
    <w:semiHidden/>
    <w:unhideWhenUsed/>
    <w:rsid w:val="000F4322"/>
    <w:pPr>
      <w:widowControl w:val="0"/>
      <w:ind w:left="1440" w:firstLine="0"/>
      <w:jc w:val="left"/>
    </w:pPr>
    <w:rPr>
      <w:rFonts w:ascii="Calibri" w:eastAsia="Courier New" w:hAnsi="Calibri" w:cs="Courier New"/>
      <w:color w:val="000000"/>
      <w:lang w:val="ro-RO" w:eastAsia="ru-RU"/>
    </w:rPr>
  </w:style>
  <w:style w:type="paragraph" w:styleId="Cuprins8">
    <w:name w:val="toc 8"/>
    <w:basedOn w:val="Normal"/>
    <w:next w:val="Normal"/>
    <w:autoRedefine/>
    <w:uiPriority w:val="39"/>
    <w:semiHidden/>
    <w:unhideWhenUsed/>
    <w:rsid w:val="000F4322"/>
    <w:pPr>
      <w:widowControl w:val="0"/>
      <w:ind w:left="1680" w:firstLine="0"/>
      <w:jc w:val="left"/>
    </w:pPr>
    <w:rPr>
      <w:rFonts w:ascii="Calibri" w:eastAsia="Courier New" w:hAnsi="Calibri" w:cs="Courier New"/>
      <w:color w:val="000000"/>
      <w:lang w:val="ro-RO" w:eastAsia="ru-RU"/>
    </w:rPr>
  </w:style>
  <w:style w:type="paragraph" w:styleId="Cuprins9">
    <w:name w:val="toc 9"/>
    <w:basedOn w:val="Normal"/>
    <w:next w:val="Normal"/>
    <w:autoRedefine/>
    <w:uiPriority w:val="39"/>
    <w:semiHidden/>
    <w:unhideWhenUsed/>
    <w:rsid w:val="000F4322"/>
    <w:pPr>
      <w:widowControl w:val="0"/>
      <w:ind w:left="1920" w:firstLine="0"/>
      <w:jc w:val="left"/>
    </w:pPr>
    <w:rPr>
      <w:rFonts w:ascii="Calibri" w:eastAsia="Courier New" w:hAnsi="Calibri" w:cs="Courier New"/>
      <w:color w:val="000000"/>
      <w:lang w:val="ro-RO" w:eastAsia="ru-RU"/>
    </w:rPr>
  </w:style>
  <w:style w:type="paragraph" w:styleId="Textnotdefinal">
    <w:name w:val="endnote text"/>
    <w:basedOn w:val="Normal"/>
    <w:link w:val="TextnotdefinalCaracter"/>
    <w:uiPriority w:val="99"/>
    <w:semiHidden/>
    <w:unhideWhenUsed/>
    <w:rsid w:val="000F4322"/>
    <w:pPr>
      <w:suppressAutoHyphens/>
      <w:ind w:firstLine="0"/>
      <w:jc w:val="left"/>
    </w:pPr>
    <w:rPr>
      <w:rFonts w:ascii="Cambria Math" w:hAnsi="Cambria Math"/>
      <w:sz w:val="24"/>
      <w:szCs w:val="24"/>
      <w:lang w:val="ro-RO" w:eastAsia="ar-SA"/>
    </w:rPr>
  </w:style>
  <w:style w:type="character" w:customStyle="1" w:styleId="TextnotdefinalCaracter">
    <w:name w:val="Text notă de final Caracter"/>
    <w:basedOn w:val="Fontdeparagrafimplicit"/>
    <w:link w:val="Textnotdefinal"/>
    <w:uiPriority w:val="99"/>
    <w:semiHidden/>
    <w:rsid w:val="000F4322"/>
    <w:rPr>
      <w:rFonts w:ascii="Cambria Math" w:eastAsia="Times New Roman" w:hAnsi="Cambria Math" w:cs="Times New Roman"/>
      <w:sz w:val="24"/>
      <w:szCs w:val="24"/>
      <w:lang w:val="ro-RO" w:eastAsia="ar-SA"/>
    </w:rPr>
  </w:style>
  <w:style w:type="paragraph" w:styleId="List">
    <w:name w:val="List"/>
    <w:basedOn w:val="Corptext"/>
    <w:uiPriority w:val="99"/>
    <w:semiHidden/>
    <w:unhideWhenUsed/>
    <w:rsid w:val="000F4322"/>
    <w:pPr>
      <w:suppressAutoHyphens/>
      <w:spacing w:before="120" w:after="0" w:line="240" w:lineRule="auto"/>
    </w:pPr>
    <w:rPr>
      <w:rFonts w:ascii="Cambria" w:eastAsia="Times New Roman" w:hAnsi="Cambria"/>
      <w:sz w:val="24"/>
      <w:szCs w:val="24"/>
      <w:lang w:val="ru-RU" w:eastAsia="ar-SA"/>
    </w:rPr>
  </w:style>
  <w:style w:type="paragraph" w:styleId="Listacumarcatori2">
    <w:name w:val="List Bullet 2"/>
    <w:basedOn w:val="Corptext"/>
    <w:uiPriority w:val="99"/>
    <w:semiHidden/>
    <w:unhideWhenUsed/>
    <w:rsid w:val="000F4322"/>
    <w:pPr>
      <w:numPr>
        <w:numId w:val="16"/>
      </w:numPr>
      <w:suppressAutoHyphens/>
      <w:spacing w:before="120" w:after="160" w:line="312" w:lineRule="auto"/>
      <w:ind w:left="0" w:firstLine="0"/>
    </w:pPr>
    <w:rPr>
      <w:rFonts w:ascii="Bookman Old Style" w:eastAsia="Times New Roman" w:hAnsi="Bookman Old Style"/>
      <w:sz w:val="24"/>
      <w:szCs w:val="24"/>
      <w:lang w:val="ru-RU" w:eastAsia="ar-SA"/>
    </w:rPr>
  </w:style>
  <w:style w:type="paragraph" w:styleId="Subtitlu">
    <w:name w:val="Subtitle"/>
    <w:basedOn w:val="Normal"/>
    <w:next w:val="Normal"/>
    <w:link w:val="SubtitluCaracter"/>
    <w:uiPriority w:val="11"/>
    <w:qFormat/>
    <w:rsid w:val="000F4322"/>
    <w:pPr>
      <w:numPr>
        <w:ilvl w:val="1"/>
      </w:numPr>
      <w:spacing w:after="160"/>
      <w:ind w:firstLine="709"/>
    </w:pPr>
    <w:rPr>
      <w:rFonts w:asciiTheme="minorHAnsi" w:eastAsiaTheme="minorEastAsia" w:hAnsiTheme="minorHAnsi" w:cstheme="minorBidi"/>
      <w:color w:val="5A5A5A" w:themeColor="text1" w:themeTint="A5"/>
      <w:spacing w:val="15"/>
      <w:sz w:val="22"/>
      <w:szCs w:val="22"/>
      <w:lang w:val="ru-RU"/>
    </w:rPr>
  </w:style>
  <w:style w:type="character" w:customStyle="1" w:styleId="SubtitluCaracter">
    <w:name w:val="Subtitlu Caracter"/>
    <w:basedOn w:val="Fontdeparagrafimplicit"/>
    <w:link w:val="Subtitlu"/>
    <w:uiPriority w:val="11"/>
    <w:rsid w:val="000F4322"/>
    <w:rPr>
      <w:rFonts w:eastAsiaTheme="minorEastAsia"/>
      <w:color w:val="5A5A5A" w:themeColor="text1" w:themeTint="A5"/>
      <w:spacing w:val="15"/>
      <w:lang w:val="ru-RU"/>
    </w:rPr>
  </w:style>
  <w:style w:type="paragraph" w:styleId="Titlu">
    <w:name w:val="Title"/>
    <w:basedOn w:val="Normal"/>
    <w:next w:val="Subtitlu"/>
    <w:link w:val="TitluCaracter"/>
    <w:uiPriority w:val="10"/>
    <w:qFormat/>
    <w:rsid w:val="000F4322"/>
    <w:pPr>
      <w:suppressAutoHyphens/>
      <w:ind w:firstLine="0"/>
      <w:jc w:val="center"/>
    </w:pPr>
    <w:rPr>
      <w:b/>
      <w:sz w:val="24"/>
      <w:lang w:eastAsia="ar-SA"/>
    </w:rPr>
  </w:style>
  <w:style w:type="character" w:customStyle="1" w:styleId="TitluCaracter">
    <w:name w:val="Titlu Caracter"/>
    <w:basedOn w:val="Fontdeparagrafimplicit"/>
    <w:link w:val="Titlu"/>
    <w:uiPriority w:val="10"/>
    <w:rsid w:val="000F4322"/>
    <w:rPr>
      <w:rFonts w:ascii="Times New Roman" w:eastAsia="Times New Roman" w:hAnsi="Times New Roman" w:cs="Times New Roman"/>
      <w:b/>
      <w:sz w:val="24"/>
      <w:szCs w:val="20"/>
      <w:lang w:val="en-US" w:eastAsia="ar-SA"/>
    </w:rPr>
  </w:style>
  <w:style w:type="paragraph" w:styleId="Corptext2">
    <w:name w:val="Body Text 2"/>
    <w:basedOn w:val="Normal"/>
    <w:link w:val="Corptext2Caracter"/>
    <w:uiPriority w:val="99"/>
    <w:semiHidden/>
    <w:unhideWhenUsed/>
    <w:rsid w:val="000F4322"/>
    <w:pPr>
      <w:suppressAutoHyphens/>
      <w:spacing w:after="120" w:line="480" w:lineRule="auto"/>
      <w:ind w:firstLine="0"/>
      <w:jc w:val="left"/>
    </w:pPr>
    <w:rPr>
      <w:rFonts w:ascii="Cambria Math" w:hAnsi="Cambria Math"/>
      <w:sz w:val="24"/>
      <w:szCs w:val="24"/>
      <w:lang w:val="ru-RU" w:eastAsia="ar-SA"/>
    </w:rPr>
  </w:style>
  <w:style w:type="character" w:customStyle="1" w:styleId="Corptext2Caracter">
    <w:name w:val="Corp text 2 Caracter"/>
    <w:basedOn w:val="Fontdeparagrafimplicit"/>
    <w:link w:val="Corptext2"/>
    <w:uiPriority w:val="99"/>
    <w:semiHidden/>
    <w:rsid w:val="000F4322"/>
    <w:rPr>
      <w:rFonts w:ascii="Cambria Math" w:eastAsia="Times New Roman" w:hAnsi="Cambria Math" w:cs="Times New Roman"/>
      <w:sz w:val="24"/>
      <w:szCs w:val="24"/>
      <w:lang w:val="ru-RU" w:eastAsia="ar-SA"/>
    </w:rPr>
  </w:style>
  <w:style w:type="paragraph" w:styleId="Indentcorptext2">
    <w:name w:val="Body Text Indent 2"/>
    <w:basedOn w:val="Normal"/>
    <w:link w:val="Indentcorptext2Caracter"/>
    <w:uiPriority w:val="99"/>
    <w:semiHidden/>
    <w:unhideWhenUsed/>
    <w:rsid w:val="000F4322"/>
    <w:pPr>
      <w:suppressAutoHyphens/>
      <w:spacing w:after="120" w:line="480" w:lineRule="auto"/>
      <w:ind w:left="283" w:firstLine="0"/>
      <w:jc w:val="left"/>
    </w:pPr>
    <w:rPr>
      <w:rFonts w:ascii="Cambria Math" w:hAnsi="Cambria Math"/>
      <w:sz w:val="24"/>
      <w:szCs w:val="24"/>
      <w:lang w:val="ru-RU" w:eastAsia="ar-SA"/>
    </w:rPr>
  </w:style>
  <w:style w:type="character" w:customStyle="1" w:styleId="Indentcorptext2Caracter">
    <w:name w:val="Indent corp text 2 Caracter"/>
    <w:basedOn w:val="Fontdeparagrafimplicit"/>
    <w:link w:val="Indentcorptext2"/>
    <w:uiPriority w:val="99"/>
    <w:semiHidden/>
    <w:rsid w:val="000F4322"/>
    <w:rPr>
      <w:rFonts w:ascii="Cambria Math" w:eastAsia="Times New Roman" w:hAnsi="Cambria Math" w:cs="Times New Roman"/>
      <w:sz w:val="24"/>
      <w:szCs w:val="24"/>
      <w:lang w:val="ru-RU" w:eastAsia="ar-SA"/>
    </w:rPr>
  </w:style>
  <w:style w:type="paragraph" w:styleId="Indentcorptext3">
    <w:name w:val="Body Text Indent 3"/>
    <w:basedOn w:val="Normal"/>
    <w:link w:val="Indentcorptext3Caracter"/>
    <w:uiPriority w:val="99"/>
    <w:semiHidden/>
    <w:unhideWhenUsed/>
    <w:rsid w:val="000F4322"/>
    <w:pPr>
      <w:suppressAutoHyphens/>
      <w:spacing w:after="120"/>
      <w:ind w:left="360" w:firstLine="0"/>
      <w:jc w:val="left"/>
    </w:pPr>
    <w:rPr>
      <w:rFonts w:ascii="Cambria Math" w:hAnsi="Cambria Math"/>
      <w:sz w:val="16"/>
      <w:szCs w:val="16"/>
      <w:lang w:val="ro-RO" w:eastAsia="ar-SA"/>
    </w:rPr>
  </w:style>
  <w:style w:type="character" w:customStyle="1" w:styleId="Indentcorptext3Caracter">
    <w:name w:val="Indent corp text 3 Caracter"/>
    <w:basedOn w:val="Fontdeparagrafimplicit"/>
    <w:link w:val="Indentcorptext3"/>
    <w:uiPriority w:val="99"/>
    <w:semiHidden/>
    <w:rsid w:val="000F4322"/>
    <w:rPr>
      <w:rFonts w:ascii="Cambria Math" w:eastAsia="Times New Roman" w:hAnsi="Cambria Math" w:cs="Times New Roman"/>
      <w:sz w:val="16"/>
      <w:szCs w:val="16"/>
      <w:lang w:val="ro-RO" w:eastAsia="ar-SA"/>
    </w:rPr>
  </w:style>
  <w:style w:type="paragraph" w:styleId="Textbloc">
    <w:name w:val="Block Text"/>
    <w:basedOn w:val="Normal"/>
    <w:uiPriority w:val="99"/>
    <w:semiHidden/>
    <w:unhideWhenUsed/>
    <w:rsid w:val="000F4322"/>
    <w:pPr>
      <w:widowControl w:val="0"/>
      <w:autoSpaceDE w:val="0"/>
      <w:autoSpaceDN w:val="0"/>
      <w:adjustRightInd w:val="0"/>
      <w:spacing w:before="20" w:line="319" w:lineRule="auto"/>
      <w:ind w:left="680" w:right="600" w:firstLine="0"/>
      <w:jc w:val="center"/>
    </w:pPr>
    <w:rPr>
      <w:b/>
      <w:sz w:val="24"/>
      <w:lang w:val="ro-RO" w:eastAsia="ru-RU"/>
    </w:rPr>
  </w:style>
  <w:style w:type="paragraph" w:styleId="Plandocument">
    <w:name w:val="Document Map"/>
    <w:basedOn w:val="Normal"/>
    <w:link w:val="PlandocumentCaracter"/>
    <w:uiPriority w:val="99"/>
    <w:semiHidden/>
    <w:unhideWhenUsed/>
    <w:rsid w:val="000F4322"/>
    <w:pPr>
      <w:shd w:val="clear" w:color="auto" w:fill="000080"/>
      <w:suppressAutoHyphens/>
      <w:ind w:firstLine="0"/>
      <w:jc w:val="left"/>
    </w:pPr>
    <w:rPr>
      <w:rFonts w:ascii="Tahoma" w:hAnsi="Tahoma"/>
      <w:sz w:val="24"/>
      <w:szCs w:val="24"/>
      <w:lang w:val="ro-RO" w:eastAsia="ar-SA"/>
    </w:rPr>
  </w:style>
  <w:style w:type="character" w:customStyle="1" w:styleId="PlandocumentCaracter">
    <w:name w:val="Plan document Caracter"/>
    <w:basedOn w:val="Fontdeparagrafimplicit"/>
    <w:link w:val="Plandocument"/>
    <w:uiPriority w:val="99"/>
    <w:semiHidden/>
    <w:rsid w:val="000F4322"/>
    <w:rPr>
      <w:rFonts w:ascii="Tahoma" w:eastAsia="Times New Roman" w:hAnsi="Tahoma" w:cs="Times New Roman"/>
      <w:sz w:val="24"/>
      <w:szCs w:val="24"/>
      <w:shd w:val="clear" w:color="auto" w:fill="000080"/>
      <w:lang w:val="ro-RO" w:eastAsia="ar-SA"/>
    </w:rPr>
  </w:style>
  <w:style w:type="paragraph" w:styleId="Titlucuprins">
    <w:name w:val="TOC Heading"/>
    <w:basedOn w:val="Titlu1"/>
    <w:next w:val="Normal"/>
    <w:uiPriority w:val="39"/>
    <w:semiHidden/>
    <w:unhideWhenUsed/>
    <w:qFormat/>
    <w:rsid w:val="000F4322"/>
    <w:pPr>
      <w:keepLines/>
      <w:spacing w:after="0" w:line="256" w:lineRule="auto"/>
      <w:ind w:firstLine="0"/>
      <w:jc w:val="left"/>
      <w:outlineLvl w:val="9"/>
    </w:pPr>
    <w:rPr>
      <w:rFonts w:ascii="Calibri Light" w:hAnsi="Calibri Light" w:cs="Arial Unicode MS"/>
      <w:b w:val="0"/>
      <w:color w:val="2E74B5"/>
      <w:kern w:val="0"/>
      <w:sz w:val="32"/>
      <w:szCs w:val="32"/>
      <w:lang w:bidi="bo-CN"/>
    </w:rPr>
  </w:style>
  <w:style w:type="paragraph" w:customStyle="1" w:styleId="RC">
    <w:name w:val="RC"/>
    <w:uiPriority w:val="99"/>
    <w:rsid w:val="000F4322"/>
    <w:pPr>
      <w:spacing w:after="0" w:line="240" w:lineRule="auto"/>
      <w:ind w:firstLine="709"/>
      <w:jc w:val="both"/>
    </w:pPr>
    <w:rPr>
      <w:rFonts w:ascii="Times New Roman" w:eastAsia="Times New Roman" w:hAnsi="Times New Roman" w:cs="Times New Roman"/>
      <w:sz w:val="28"/>
      <w:szCs w:val="28"/>
      <w:lang w:val="ru-RU" w:eastAsia="ru-RU"/>
    </w:rPr>
  </w:style>
  <w:style w:type="paragraph" w:customStyle="1" w:styleId="Heading">
    <w:name w:val="Heading"/>
    <w:basedOn w:val="Normal"/>
    <w:next w:val="Corptext"/>
    <w:uiPriority w:val="99"/>
    <w:rsid w:val="000F4322"/>
    <w:pPr>
      <w:keepNext/>
      <w:suppressAutoHyphens/>
      <w:spacing w:before="240" w:after="120"/>
      <w:ind w:firstLine="0"/>
      <w:jc w:val="left"/>
    </w:pPr>
    <w:rPr>
      <w:rFonts w:ascii="Nimbus Sans L" w:eastAsia="DejaVu Sans" w:hAnsi="Nimbus Sans L" w:cs="DejaVu Sans"/>
      <w:sz w:val="28"/>
      <w:szCs w:val="28"/>
      <w:lang w:val="ro-RO" w:eastAsia="ar-SA"/>
    </w:rPr>
  </w:style>
  <w:style w:type="paragraph" w:customStyle="1" w:styleId="Index">
    <w:name w:val="Index"/>
    <w:basedOn w:val="Normal"/>
    <w:uiPriority w:val="99"/>
    <w:rsid w:val="000F4322"/>
    <w:pPr>
      <w:suppressLineNumbers/>
      <w:suppressAutoHyphens/>
      <w:ind w:firstLine="0"/>
      <w:jc w:val="left"/>
    </w:pPr>
    <w:rPr>
      <w:rFonts w:ascii="Cambria Math" w:hAnsi="Cambria Math"/>
      <w:sz w:val="24"/>
      <w:szCs w:val="24"/>
      <w:lang w:val="ro-RO" w:eastAsia="ar-SA"/>
    </w:rPr>
  </w:style>
  <w:style w:type="paragraph" w:customStyle="1" w:styleId="WW-Default">
    <w:name w:val="WW-Default"/>
    <w:uiPriority w:val="99"/>
    <w:rsid w:val="000F4322"/>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customStyle="1" w:styleId="Normal2">
    <w:name w:val="Normal2"/>
    <w:uiPriority w:val="99"/>
    <w:rsid w:val="000F4322"/>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uiPriority w:val="99"/>
    <w:rsid w:val="000F4322"/>
    <w:pPr>
      <w:spacing w:before="240" w:after="60"/>
    </w:pPr>
    <w:rPr>
      <w:b/>
      <w:i/>
      <w:sz w:val="26"/>
    </w:rPr>
  </w:style>
  <w:style w:type="paragraph" w:customStyle="1" w:styleId="BodyTextIndent1">
    <w:name w:val="Body Text Indent1"/>
    <w:basedOn w:val="WW-Default"/>
    <w:next w:val="WW-Default"/>
    <w:uiPriority w:val="99"/>
    <w:rsid w:val="000F4322"/>
    <w:rPr>
      <w:rFonts w:cs="Times New Roman"/>
      <w:color w:val="auto"/>
    </w:rPr>
  </w:style>
  <w:style w:type="paragraph" w:customStyle="1" w:styleId="CharCharCharCharCharCharCharCharCharChar">
    <w:name w:val="Char Char Char Char Char Char Char Char Char Char"/>
    <w:basedOn w:val="Normal"/>
    <w:uiPriority w:val="99"/>
    <w:rsid w:val="000F4322"/>
    <w:pPr>
      <w:widowControl w:val="0"/>
      <w:suppressAutoHyphens/>
      <w:spacing w:after="160" w:line="240" w:lineRule="exact"/>
      <w:ind w:firstLine="0"/>
    </w:pPr>
    <w:rPr>
      <w:rFonts w:ascii="Verdana" w:hAnsi="Verdana"/>
      <w:sz w:val="24"/>
      <w:szCs w:val="24"/>
      <w:lang w:eastAsia="ar-SA"/>
    </w:rPr>
  </w:style>
  <w:style w:type="paragraph" w:customStyle="1" w:styleId="Paragraphofthereport">
    <w:name w:val="Paragraph of the report"/>
    <w:basedOn w:val="Normal"/>
    <w:uiPriority w:val="99"/>
    <w:rsid w:val="000F4322"/>
    <w:pPr>
      <w:tabs>
        <w:tab w:val="num" w:pos="720"/>
      </w:tabs>
      <w:suppressAutoHyphens/>
      <w:spacing w:before="120" w:after="120"/>
      <w:ind w:firstLine="0"/>
    </w:pPr>
    <w:rPr>
      <w:rFonts w:ascii="Cambria Math" w:hAnsi="Cambria Math"/>
      <w:sz w:val="22"/>
      <w:szCs w:val="24"/>
      <w:lang w:eastAsia="ar-SA"/>
    </w:rPr>
  </w:style>
  <w:style w:type="paragraph" w:customStyle="1" w:styleId="21">
    <w:name w:val="Цитата 21"/>
    <w:basedOn w:val="Normal"/>
    <w:uiPriority w:val="99"/>
    <w:rsid w:val="000F4322"/>
    <w:pPr>
      <w:suppressAutoHyphens/>
      <w:ind w:left="1440" w:right="1440" w:firstLine="0"/>
    </w:pPr>
    <w:rPr>
      <w:rFonts w:ascii="Cambria Math" w:hAnsi="Cambria Math"/>
      <w:sz w:val="22"/>
      <w:szCs w:val="24"/>
      <w:lang w:eastAsia="ar-SA"/>
    </w:rPr>
  </w:style>
  <w:style w:type="paragraph" w:customStyle="1" w:styleId="TableContents">
    <w:name w:val="Table Contents"/>
    <w:basedOn w:val="Normal"/>
    <w:uiPriority w:val="99"/>
    <w:rsid w:val="000F4322"/>
    <w:pPr>
      <w:widowControl w:val="0"/>
      <w:suppressLineNumbers/>
      <w:suppressAutoHyphens/>
      <w:ind w:firstLine="0"/>
      <w:jc w:val="left"/>
    </w:pPr>
    <w:rPr>
      <w:rFonts w:ascii="Cambria Math" w:hAnsi="Cambria Math"/>
      <w:kern w:val="2"/>
      <w:sz w:val="24"/>
      <w:szCs w:val="24"/>
      <w:lang w:val="ru-RU" w:eastAsia="ar-SA"/>
    </w:rPr>
  </w:style>
  <w:style w:type="paragraph" w:customStyle="1" w:styleId="ConceptTitle">
    <w:name w:val="ConceptTitle"/>
    <w:basedOn w:val="Normal"/>
    <w:uiPriority w:val="99"/>
    <w:rsid w:val="000F4322"/>
    <w:pPr>
      <w:suppressAutoHyphens/>
      <w:spacing w:line="360" w:lineRule="auto"/>
      <w:ind w:firstLine="709"/>
      <w:jc w:val="center"/>
    </w:pPr>
    <w:rPr>
      <w:rFonts w:ascii="Arial" w:hAnsi="Arial"/>
      <w:b/>
      <w:bCs/>
      <w:color w:val="000080"/>
      <w:sz w:val="32"/>
      <w:szCs w:val="24"/>
      <w:lang w:val="ru-RU" w:eastAsia="ar-SA"/>
    </w:rPr>
  </w:style>
  <w:style w:type="paragraph" w:customStyle="1" w:styleId="NoSpacing1">
    <w:name w:val="No Spacing1"/>
    <w:uiPriority w:val="99"/>
    <w:rsid w:val="000F4322"/>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uiPriority w:val="99"/>
    <w:rsid w:val="000F4322"/>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uiPriority w:val="99"/>
    <w:rsid w:val="000F4322"/>
    <w:pPr>
      <w:suppressAutoHyphens/>
      <w:autoSpaceDE w:val="0"/>
      <w:ind w:firstLine="0"/>
      <w:jc w:val="left"/>
    </w:pPr>
    <w:rPr>
      <w:rFonts w:ascii="Verdana" w:hAnsi="Verdana"/>
      <w:sz w:val="24"/>
      <w:szCs w:val="24"/>
      <w:lang w:val="ru-RU" w:eastAsia="ar-SA"/>
    </w:rPr>
  </w:style>
  <w:style w:type="paragraph" w:customStyle="1" w:styleId="Framecontents">
    <w:name w:val="Frame contents"/>
    <w:basedOn w:val="Corptext"/>
    <w:uiPriority w:val="99"/>
    <w:rsid w:val="000F4322"/>
    <w:pPr>
      <w:suppressAutoHyphens/>
      <w:spacing w:before="120" w:after="0" w:line="240" w:lineRule="auto"/>
    </w:pPr>
    <w:rPr>
      <w:rFonts w:ascii="Cambria" w:eastAsia="Times New Roman" w:hAnsi="Cambria"/>
      <w:sz w:val="24"/>
      <w:szCs w:val="24"/>
      <w:lang w:val="ru-RU" w:eastAsia="ar-SA"/>
    </w:rPr>
  </w:style>
  <w:style w:type="paragraph" w:customStyle="1" w:styleId="TableHeading">
    <w:name w:val="Table Heading"/>
    <w:basedOn w:val="TableContents"/>
    <w:uiPriority w:val="99"/>
    <w:rsid w:val="000F4322"/>
    <w:pPr>
      <w:jc w:val="center"/>
    </w:pPr>
    <w:rPr>
      <w:b/>
      <w:bCs/>
    </w:rPr>
  </w:style>
  <w:style w:type="paragraph" w:customStyle="1" w:styleId="TOCHeading1">
    <w:name w:val="TOC Heading1"/>
    <w:basedOn w:val="Titlu1"/>
    <w:next w:val="Normal"/>
    <w:uiPriority w:val="99"/>
    <w:rsid w:val="000F4322"/>
    <w:pPr>
      <w:keepLines/>
      <w:spacing w:before="480" w:after="240" w:line="276" w:lineRule="auto"/>
      <w:ind w:firstLine="0"/>
      <w:jc w:val="left"/>
      <w:outlineLvl w:val="9"/>
    </w:pPr>
    <w:rPr>
      <w:rFonts w:ascii="Cambria" w:hAnsi="Cambria"/>
      <w:bCs/>
      <w:color w:val="365F91"/>
      <w:kern w:val="0"/>
      <w:szCs w:val="28"/>
      <w:lang w:val="ru-RU"/>
    </w:rPr>
  </w:style>
  <w:style w:type="paragraph" w:customStyle="1" w:styleId="CharChar3CharChar">
    <w:name w:val="Char Char3 Знак Знак Char Char"/>
    <w:basedOn w:val="Normal"/>
    <w:next w:val="Normal"/>
    <w:uiPriority w:val="99"/>
    <w:rsid w:val="000F4322"/>
    <w:pPr>
      <w:spacing w:after="160" w:line="240" w:lineRule="exact"/>
      <w:ind w:firstLine="0"/>
      <w:jc w:val="left"/>
    </w:pPr>
    <w:rPr>
      <w:rFonts w:ascii="Tahoma" w:hAnsi="Tahoma"/>
      <w:sz w:val="24"/>
      <w:szCs w:val="24"/>
      <w:lang w:val="ro-RO"/>
    </w:rPr>
  </w:style>
  <w:style w:type="paragraph" w:customStyle="1" w:styleId="CharChar2">
    <w:name w:val="Char Char2"/>
    <w:basedOn w:val="Normal"/>
    <w:next w:val="Normal"/>
    <w:uiPriority w:val="99"/>
    <w:rsid w:val="000F4322"/>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uiPriority w:val="99"/>
    <w:rsid w:val="000F4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uiPriority w:val="99"/>
    <w:rsid w:val="000F4322"/>
    <w:pPr>
      <w:spacing w:after="160" w:line="240" w:lineRule="exact"/>
      <w:ind w:firstLine="0"/>
      <w:jc w:val="left"/>
    </w:pPr>
    <w:rPr>
      <w:rFonts w:ascii="Tahoma" w:hAnsi="Tahoma"/>
      <w:sz w:val="24"/>
      <w:szCs w:val="24"/>
      <w:lang w:val="ro-RO"/>
    </w:rPr>
  </w:style>
  <w:style w:type="character" w:customStyle="1" w:styleId="FoootnoteTextChar">
    <w:name w:val="Foootnote Text Char"/>
    <w:link w:val="FoootnoteText"/>
    <w:locked/>
    <w:rsid w:val="000F4322"/>
    <w:rPr>
      <w:lang w:val="en-AU" w:eastAsia="ar-SA"/>
    </w:rPr>
  </w:style>
  <w:style w:type="paragraph" w:customStyle="1" w:styleId="FoootnoteText">
    <w:name w:val="Foootnote Text"/>
    <w:basedOn w:val="Normal"/>
    <w:link w:val="FoootnoteTextChar"/>
    <w:rsid w:val="000F4322"/>
    <w:pPr>
      <w:suppressAutoHyphens/>
      <w:autoSpaceDE w:val="0"/>
      <w:ind w:firstLine="0"/>
      <w:jc w:val="left"/>
    </w:pPr>
    <w:rPr>
      <w:rFonts w:asciiTheme="minorHAnsi" w:eastAsiaTheme="minorHAnsi" w:hAnsiTheme="minorHAnsi" w:cstheme="minorBidi"/>
      <w:sz w:val="22"/>
      <w:szCs w:val="22"/>
      <w:lang w:val="en-AU" w:eastAsia="ar-SA"/>
    </w:rPr>
  </w:style>
  <w:style w:type="paragraph" w:customStyle="1" w:styleId="CharChar1">
    <w:name w:val="Char Char1 Знак Знак"/>
    <w:basedOn w:val="Normal"/>
    <w:next w:val="Normal"/>
    <w:uiPriority w:val="99"/>
    <w:rsid w:val="000F4322"/>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uiPriority w:val="99"/>
    <w:rsid w:val="000F4322"/>
    <w:pPr>
      <w:spacing w:after="160" w:line="240" w:lineRule="exact"/>
      <w:ind w:firstLine="0"/>
      <w:jc w:val="left"/>
    </w:pPr>
    <w:rPr>
      <w:rFonts w:ascii="Tahoma" w:hAnsi="Tahoma"/>
      <w:sz w:val="24"/>
      <w:szCs w:val="24"/>
      <w:lang w:val="ro-RO"/>
    </w:rPr>
  </w:style>
  <w:style w:type="paragraph" w:customStyle="1" w:styleId="CharChar2CharCharCharCharCharChar">
    <w:name w:val="Char Char2 Знак Знак Char Char Знак Знак Char Char Знак Знак Char Char"/>
    <w:basedOn w:val="Normal"/>
    <w:next w:val="Normal"/>
    <w:uiPriority w:val="99"/>
    <w:rsid w:val="000F4322"/>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uiPriority w:val="99"/>
    <w:rsid w:val="000F4322"/>
    <w:pPr>
      <w:widowControl w:val="0"/>
      <w:adjustRightInd w:val="0"/>
      <w:spacing w:after="160" w:line="240" w:lineRule="exact"/>
      <w:ind w:firstLine="0"/>
    </w:pPr>
    <w:rPr>
      <w:rFonts w:ascii="Verdana" w:hAnsi="Verdana"/>
      <w:sz w:val="24"/>
      <w:szCs w:val="24"/>
    </w:rPr>
  </w:style>
  <w:style w:type="paragraph" w:customStyle="1" w:styleId="Heading2aCharChar">
    <w:name w:val="Heading 2a Char Char"/>
    <w:basedOn w:val="Normal"/>
    <w:next w:val="Normal"/>
    <w:uiPriority w:val="99"/>
    <w:rsid w:val="000F4322"/>
    <w:pPr>
      <w:widowControl w:val="0"/>
      <w:adjustRightInd w:val="0"/>
      <w:ind w:firstLine="567"/>
    </w:pPr>
    <w:rPr>
      <w:rFonts w:ascii="Cambria Math" w:hAnsi="Cambria Math"/>
      <w:sz w:val="24"/>
      <w:szCs w:val="24"/>
    </w:rPr>
  </w:style>
  <w:style w:type="paragraph" w:customStyle="1" w:styleId="CharChar10">
    <w:name w:val="Char Char1"/>
    <w:basedOn w:val="Normal"/>
    <w:next w:val="Normal"/>
    <w:uiPriority w:val="99"/>
    <w:rsid w:val="000F4322"/>
    <w:pPr>
      <w:spacing w:after="160" w:line="240" w:lineRule="exact"/>
      <w:ind w:firstLine="0"/>
      <w:jc w:val="left"/>
    </w:pPr>
    <w:rPr>
      <w:rFonts w:ascii="Tahoma" w:hAnsi="Tahoma"/>
      <w:sz w:val="24"/>
      <w:szCs w:val="24"/>
      <w:lang w:val="ro-RO"/>
    </w:rPr>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uiPriority w:val="99"/>
    <w:rsid w:val="000F4322"/>
    <w:pPr>
      <w:spacing w:after="160" w:line="240" w:lineRule="exact"/>
      <w:ind w:firstLine="0"/>
      <w:jc w:val="left"/>
    </w:pPr>
    <w:rPr>
      <w:rFonts w:ascii="Tahoma" w:hAnsi="Tahoma"/>
      <w:sz w:val="24"/>
      <w:szCs w:val="24"/>
      <w:lang w:val="ro-RO"/>
    </w:rPr>
  </w:style>
  <w:style w:type="paragraph" w:customStyle="1" w:styleId="Listparagraf1">
    <w:name w:val="Listă paragraf1"/>
    <w:basedOn w:val="Normal"/>
    <w:uiPriority w:val="99"/>
    <w:rsid w:val="000F4322"/>
    <w:pPr>
      <w:spacing w:after="200" w:line="276" w:lineRule="auto"/>
      <w:ind w:left="720" w:firstLine="0"/>
      <w:jc w:val="left"/>
    </w:pPr>
    <w:rPr>
      <w:rFonts w:ascii="Calibri" w:hAnsi="Calibri" w:cs="Calibri"/>
      <w:color w:val="000000"/>
      <w:sz w:val="22"/>
      <w:szCs w:val="22"/>
    </w:rPr>
  </w:style>
  <w:style w:type="paragraph" w:customStyle="1" w:styleId="Titlucuprins1">
    <w:name w:val="Titlu cuprins1"/>
    <w:basedOn w:val="Titlu1"/>
    <w:next w:val="Normal"/>
    <w:uiPriority w:val="99"/>
    <w:rsid w:val="000F4322"/>
    <w:pPr>
      <w:keepLines/>
      <w:spacing w:before="480" w:after="240" w:line="276" w:lineRule="auto"/>
      <w:ind w:firstLine="0"/>
      <w:jc w:val="left"/>
      <w:outlineLvl w:val="9"/>
    </w:pPr>
    <w:rPr>
      <w:rFonts w:ascii="Cambria" w:hAnsi="Cambria"/>
      <w:bCs/>
      <w:color w:val="365F91"/>
      <w:kern w:val="0"/>
      <w:szCs w:val="28"/>
      <w:lang w:val="ru-RU"/>
    </w:rPr>
  </w:style>
  <w:style w:type="character" w:customStyle="1" w:styleId="NoSpacingChar">
    <w:name w:val="No Spacing Char"/>
    <w:link w:val="Frspaiere1"/>
    <w:locked/>
    <w:rsid w:val="000F4322"/>
    <w:rPr>
      <w:rFonts w:ascii="Calibri" w:eastAsia="PMingLiU" w:hAnsi="Calibri"/>
      <w:lang w:val="en-US"/>
    </w:rPr>
  </w:style>
  <w:style w:type="paragraph" w:customStyle="1" w:styleId="Frspaiere1">
    <w:name w:val="Fără spațiere1"/>
    <w:link w:val="NoSpacingChar"/>
    <w:rsid w:val="000F4322"/>
    <w:pPr>
      <w:spacing w:after="0" w:line="240" w:lineRule="auto"/>
    </w:pPr>
    <w:rPr>
      <w:rFonts w:ascii="Calibri" w:eastAsia="PMingLiU" w:hAnsi="Calibri"/>
      <w:lang w:val="en-US"/>
    </w:rPr>
  </w:style>
  <w:style w:type="character" w:customStyle="1" w:styleId="FootNoteChar">
    <w:name w:val="FootNote Char"/>
    <w:link w:val="FootNote"/>
    <w:locked/>
    <w:rsid w:val="000F4322"/>
    <w:rPr>
      <w:rFonts w:ascii="Calibri" w:hAnsi="Calibri"/>
      <w:sz w:val="18"/>
      <w:lang w:val="en-AU" w:eastAsia="ar-SA"/>
    </w:rPr>
  </w:style>
  <w:style w:type="paragraph" w:customStyle="1" w:styleId="FootNote">
    <w:name w:val="FootNote"/>
    <w:basedOn w:val="Textnotdesubsol"/>
    <w:link w:val="FootNoteChar"/>
    <w:rsid w:val="000F4322"/>
    <w:pPr>
      <w:suppressAutoHyphens/>
      <w:spacing w:after="0"/>
    </w:pPr>
    <w:rPr>
      <w:rFonts w:ascii="Calibri" w:eastAsiaTheme="minorHAnsi" w:hAnsi="Calibri" w:cstheme="minorBidi"/>
      <w:sz w:val="18"/>
      <w:szCs w:val="22"/>
      <w:lang w:val="en-AU" w:eastAsia="ar-SA"/>
    </w:rPr>
  </w:style>
  <w:style w:type="character" w:customStyle="1" w:styleId="QuoteChar">
    <w:name w:val="Quote Char"/>
    <w:link w:val="Citat1"/>
    <w:locked/>
    <w:rsid w:val="000F4322"/>
    <w:rPr>
      <w:rFonts w:ascii="Cambria Math" w:hAnsi="Cambria Math"/>
      <w:i/>
      <w:iCs/>
      <w:color w:val="000000"/>
      <w:szCs w:val="24"/>
      <w:lang w:eastAsia="ar-SA"/>
    </w:rPr>
  </w:style>
  <w:style w:type="paragraph" w:customStyle="1" w:styleId="Citat1">
    <w:name w:val="Citat1"/>
    <w:basedOn w:val="Normal"/>
    <w:next w:val="Normal"/>
    <w:link w:val="QuoteChar"/>
    <w:rsid w:val="000F4322"/>
    <w:pPr>
      <w:suppressAutoHyphens/>
      <w:ind w:firstLine="0"/>
      <w:jc w:val="left"/>
    </w:pPr>
    <w:rPr>
      <w:rFonts w:ascii="Cambria Math" w:eastAsiaTheme="minorHAnsi" w:hAnsi="Cambria Math" w:cstheme="minorBidi"/>
      <w:i/>
      <w:iCs/>
      <w:color w:val="000000"/>
      <w:sz w:val="22"/>
      <w:szCs w:val="24"/>
      <w:lang w:val="ro-MD" w:eastAsia="ar-SA"/>
    </w:rPr>
  </w:style>
  <w:style w:type="paragraph" w:customStyle="1" w:styleId="CharCharCharChar1">
    <w:name w:val="Char Char Знак Знак Char Char1"/>
    <w:basedOn w:val="Normal"/>
    <w:uiPriority w:val="99"/>
    <w:rsid w:val="000F4322"/>
    <w:pPr>
      <w:widowControl w:val="0"/>
      <w:adjustRightInd w:val="0"/>
      <w:spacing w:after="160" w:line="240" w:lineRule="exact"/>
      <w:ind w:firstLine="0"/>
    </w:pPr>
    <w:rPr>
      <w:rFonts w:ascii="Verdana" w:hAnsi="Verdana"/>
    </w:rPr>
  </w:style>
  <w:style w:type="paragraph" w:customStyle="1" w:styleId="cp">
    <w:name w:val="cp"/>
    <w:basedOn w:val="Normal"/>
    <w:uiPriority w:val="99"/>
    <w:rsid w:val="000F4322"/>
    <w:pPr>
      <w:ind w:firstLine="0"/>
      <w:jc w:val="center"/>
    </w:pPr>
    <w:rPr>
      <w:rFonts w:eastAsiaTheme="minorEastAsia"/>
      <w:b/>
      <w:bCs/>
      <w:sz w:val="24"/>
      <w:szCs w:val="24"/>
    </w:rPr>
  </w:style>
  <w:style w:type="paragraph" w:customStyle="1" w:styleId="rg">
    <w:name w:val="rg"/>
    <w:basedOn w:val="Normal"/>
    <w:uiPriority w:val="99"/>
    <w:rsid w:val="000F4322"/>
    <w:pPr>
      <w:ind w:firstLine="0"/>
      <w:jc w:val="right"/>
    </w:pPr>
    <w:rPr>
      <w:rFonts w:eastAsiaTheme="minorEastAsia"/>
      <w:sz w:val="24"/>
      <w:szCs w:val="24"/>
    </w:rPr>
  </w:style>
  <w:style w:type="paragraph" w:customStyle="1" w:styleId="md">
    <w:name w:val="md"/>
    <w:basedOn w:val="Normal"/>
    <w:uiPriority w:val="99"/>
    <w:rsid w:val="000F4322"/>
    <w:pPr>
      <w:ind w:firstLine="567"/>
    </w:pPr>
    <w:rPr>
      <w:rFonts w:eastAsiaTheme="minorEastAsia"/>
      <w:i/>
      <w:iCs/>
      <w:color w:val="663300"/>
      <w:lang w:val="ru-RU" w:eastAsia="ru-RU"/>
    </w:rPr>
  </w:style>
  <w:style w:type="character" w:customStyle="1" w:styleId="a">
    <w:name w:val="Сноска_"/>
    <w:link w:val="a0"/>
    <w:locked/>
    <w:rsid w:val="000F4322"/>
    <w:rPr>
      <w:sz w:val="23"/>
      <w:szCs w:val="23"/>
      <w:shd w:val="clear" w:color="auto" w:fill="FFFFFF"/>
    </w:rPr>
  </w:style>
  <w:style w:type="paragraph" w:customStyle="1" w:styleId="a0">
    <w:name w:val="Сноска"/>
    <w:basedOn w:val="Normal"/>
    <w:link w:val="a"/>
    <w:rsid w:val="000F4322"/>
    <w:pPr>
      <w:widowControl w:val="0"/>
      <w:shd w:val="clear" w:color="auto" w:fill="FFFFFF"/>
      <w:spacing w:line="274" w:lineRule="exact"/>
      <w:ind w:firstLine="0"/>
      <w:jc w:val="left"/>
    </w:pPr>
    <w:rPr>
      <w:rFonts w:asciiTheme="minorHAnsi" w:eastAsiaTheme="minorHAnsi" w:hAnsiTheme="minorHAnsi" w:cstheme="minorBidi"/>
      <w:sz w:val="23"/>
      <w:szCs w:val="23"/>
      <w:lang w:val="ro-MD"/>
    </w:rPr>
  </w:style>
  <w:style w:type="character" w:customStyle="1" w:styleId="a1">
    <w:name w:val="Основной текст_"/>
    <w:link w:val="4"/>
    <w:locked/>
    <w:rsid w:val="000F4322"/>
    <w:rPr>
      <w:sz w:val="23"/>
      <w:szCs w:val="23"/>
      <w:shd w:val="clear" w:color="auto" w:fill="FFFFFF"/>
    </w:rPr>
  </w:style>
  <w:style w:type="paragraph" w:customStyle="1" w:styleId="4">
    <w:name w:val="Основной текст4"/>
    <w:basedOn w:val="Normal"/>
    <w:link w:val="a1"/>
    <w:rsid w:val="000F4322"/>
    <w:pPr>
      <w:widowControl w:val="0"/>
      <w:shd w:val="clear" w:color="auto" w:fill="FFFFFF"/>
      <w:spacing w:before="540" w:line="259" w:lineRule="exact"/>
      <w:ind w:hanging="380"/>
      <w:jc w:val="left"/>
    </w:pPr>
    <w:rPr>
      <w:rFonts w:asciiTheme="minorHAnsi" w:eastAsiaTheme="minorHAnsi" w:hAnsiTheme="minorHAnsi" w:cstheme="minorBidi"/>
      <w:sz w:val="23"/>
      <w:szCs w:val="23"/>
      <w:lang w:val="ro-MD"/>
    </w:rPr>
  </w:style>
  <w:style w:type="character" w:customStyle="1" w:styleId="a3">
    <w:name w:val="Колонтитул_"/>
    <w:link w:val="a4"/>
    <w:locked/>
    <w:rsid w:val="000F4322"/>
    <w:rPr>
      <w:rFonts w:ascii="Trebuchet MS" w:eastAsia="Trebuchet MS" w:hAnsi="Trebuchet MS" w:cs="Trebuchet MS"/>
      <w:sz w:val="15"/>
      <w:szCs w:val="15"/>
      <w:shd w:val="clear" w:color="auto" w:fill="FFFFFF"/>
    </w:rPr>
  </w:style>
  <w:style w:type="paragraph" w:customStyle="1" w:styleId="a4">
    <w:name w:val="Колонтитул"/>
    <w:basedOn w:val="Normal"/>
    <w:link w:val="a3"/>
    <w:rsid w:val="000F4322"/>
    <w:pPr>
      <w:widowControl w:val="0"/>
      <w:shd w:val="clear" w:color="auto" w:fill="FFFFFF"/>
      <w:spacing w:line="0" w:lineRule="atLeast"/>
      <w:ind w:firstLine="0"/>
      <w:jc w:val="left"/>
    </w:pPr>
    <w:rPr>
      <w:rFonts w:ascii="Trebuchet MS" w:eastAsia="Trebuchet MS" w:hAnsi="Trebuchet MS" w:cs="Trebuchet MS"/>
      <w:sz w:val="15"/>
      <w:szCs w:val="15"/>
      <w:lang w:val="ro-MD"/>
    </w:rPr>
  </w:style>
  <w:style w:type="character" w:customStyle="1" w:styleId="3">
    <w:name w:val="Основной текст (3)_"/>
    <w:link w:val="30"/>
    <w:locked/>
    <w:rsid w:val="000F4322"/>
    <w:rPr>
      <w:i/>
      <w:iCs/>
      <w:sz w:val="8"/>
      <w:szCs w:val="8"/>
      <w:shd w:val="clear" w:color="auto" w:fill="FFFFFF"/>
    </w:rPr>
  </w:style>
  <w:style w:type="paragraph" w:customStyle="1" w:styleId="30">
    <w:name w:val="Основной текст (3)"/>
    <w:basedOn w:val="Normal"/>
    <w:link w:val="3"/>
    <w:rsid w:val="000F4322"/>
    <w:pPr>
      <w:widowControl w:val="0"/>
      <w:shd w:val="clear" w:color="auto" w:fill="FFFFFF"/>
      <w:spacing w:after="60" w:line="0" w:lineRule="atLeast"/>
      <w:ind w:firstLine="0"/>
      <w:jc w:val="left"/>
    </w:pPr>
    <w:rPr>
      <w:rFonts w:asciiTheme="minorHAnsi" w:eastAsiaTheme="minorHAnsi" w:hAnsiTheme="minorHAnsi" w:cstheme="minorBidi"/>
      <w:i/>
      <w:iCs/>
      <w:sz w:val="8"/>
      <w:szCs w:val="8"/>
      <w:lang w:val="ro-MD"/>
    </w:rPr>
  </w:style>
  <w:style w:type="character" w:customStyle="1" w:styleId="5">
    <w:name w:val="Основной текст (5)_"/>
    <w:link w:val="50"/>
    <w:locked/>
    <w:rsid w:val="000F4322"/>
    <w:rPr>
      <w:rFonts w:ascii="Bookman Old Style" w:eastAsia="Bookman Old Style" w:hAnsi="Bookman Old Style" w:cs="Bookman Old Style"/>
      <w:sz w:val="8"/>
      <w:szCs w:val="8"/>
      <w:shd w:val="clear" w:color="auto" w:fill="FFFFFF"/>
    </w:rPr>
  </w:style>
  <w:style w:type="paragraph" w:customStyle="1" w:styleId="50">
    <w:name w:val="Основной текст (5)"/>
    <w:basedOn w:val="Normal"/>
    <w:link w:val="5"/>
    <w:rsid w:val="000F4322"/>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ro-MD"/>
    </w:rPr>
  </w:style>
  <w:style w:type="character" w:customStyle="1" w:styleId="6">
    <w:name w:val="Основной текст (6)_"/>
    <w:link w:val="60"/>
    <w:locked/>
    <w:rsid w:val="000F4322"/>
    <w:rPr>
      <w:rFonts w:ascii="Bookman Old Style" w:eastAsia="Bookman Old Style" w:hAnsi="Bookman Old Style" w:cs="Bookman Old Style"/>
      <w:sz w:val="8"/>
      <w:szCs w:val="8"/>
      <w:shd w:val="clear" w:color="auto" w:fill="FFFFFF"/>
    </w:rPr>
  </w:style>
  <w:style w:type="paragraph" w:customStyle="1" w:styleId="60">
    <w:name w:val="Основной текст (6)"/>
    <w:basedOn w:val="Normal"/>
    <w:link w:val="6"/>
    <w:rsid w:val="000F4322"/>
    <w:pPr>
      <w:widowControl w:val="0"/>
      <w:shd w:val="clear" w:color="auto" w:fill="FFFFFF"/>
      <w:spacing w:line="0" w:lineRule="atLeast"/>
      <w:ind w:firstLine="0"/>
      <w:jc w:val="left"/>
    </w:pPr>
    <w:rPr>
      <w:rFonts w:ascii="Bookman Old Style" w:eastAsia="Bookman Old Style" w:hAnsi="Bookman Old Style" w:cs="Bookman Old Style"/>
      <w:sz w:val="8"/>
      <w:szCs w:val="8"/>
      <w:lang w:val="ro-MD"/>
    </w:rPr>
  </w:style>
  <w:style w:type="character" w:customStyle="1" w:styleId="7">
    <w:name w:val="Основной текст (7)_"/>
    <w:link w:val="70"/>
    <w:locked/>
    <w:rsid w:val="000F4322"/>
    <w:rPr>
      <w:rFonts w:ascii="Bookman Old Style" w:eastAsia="Bookman Old Style" w:hAnsi="Bookman Old Style" w:cs="Bookman Old Style"/>
      <w:sz w:val="8"/>
      <w:szCs w:val="8"/>
      <w:shd w:val="clear" w:color="auto" w:fill="FFFFFF"/>
    </w:rPr>
  </w:style>
  <w:style w:type="paragraph" w:customStyle="1" w:styleId="70">
    <w:name w:val="Основной текст (7)"/>
    <w:basedOn w:val="Normal"/>
    <w:link w:val="7"/>
    <w:rsid w:val="000F4322"/>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ro-MD"/>
    </w:rPr>
  </w:style>
  <w:style w:type="character" w:customStyle="1" w:styleId="8">
    <w:name w:val="Основной текст (8)_"/>
    <w:link w:val="80"/>
    <w:locked/>
    <w:rsid w:val="000F4322"/>
    <w:rPr>
      <w:rFonts w:ascii="Bookman Old Style" w:eastAsia="Bookman Old Style" w:hAnsi="Bookman Old Style" w:cs="Bookman Old Style"/>
      <w:sz w:val="8"/>
      <w:szCs w:val="8"/>
      <w:shd w:val="clear" w:color="auto" w:fill="FFFFFF"/>
    </w:rPr>
  </w:style>
  <w:style w:type="paragraph" w:customStyle="1" w:styleId="80">
    <w:name w:val="Основной текст (8)"/>
    <w:basedOn w:val="Normal"/>
    <w:link w:val="8"/>
    <w:rsid w:val="000F4322"/>
    <w:pPr>
      <w:widowControl w:val="0"/>
      <w:shd w:val="clear" w:color="auto" w:fill="FFFFFF"/>
      <w:spacing w:line="0" w:lineRule="atLeast"/>
      <w:ind w:firstLine="0"/>
      <w:jc w:val="left"/>
    </w:pPr>
    <w:rPr>
      <w:rFonts w:ascii="Bookman Old Style" w:eastAsia="Bookman Old Style" w:hAnsi="Bookman Old Style" w:cs="Bookman Old Style"/>
      <w:sz w:val="8"/>
      <w:szCs w:val="8"/>
      <w:lang w:val="ro-MD"/>
    </w:rPr>
  </w:style>
  <w:style w:type="character" w:customStyle="1" w:styleId="9">
    <w:name w:val="Основной текст (9)_"/>
    <w:link w:val="90"/>
    <w:locked/>
    <w:rsid w:val="000F4322"/>
    <w:rPr>
      <w:rFonts w:ascii="Bookman Old Style" w:eastAsia="Bookman Old Style" w:hAnsi="Bookman Old Style" w:cs="Bookman Old Style"/>
      <w:sz w:val="8"/>
      <w:szCs w:val="8"/>
      <w:shd w:val="clear" w:color="auto" w:fill="FFFFFF"/>
    </w:rPr>
  </w:style>
  <w:style w:type="paragraph" w:customStyle="1" w:styleId="90">
    <w:name w:val="Основной текст (9)"/>
    <w:basedOn w:val="Normal"/>
    <w:link w:val="9"/>
    <w:rsid w:val="000F4322"/>
    <w:pPr>
      <w:widowControl w:val="0"/>
      <w:shd w:val="clear" w:color="auto" w:fill="FFFFFF"/>
      <w:spacing w:line="0" w:lineRule="atLeast"/>
      <w:ind w:firstLine="0"/>
      <w:jc w:val="left"/>
    </w:pPr>
    <w:rPr>
      <w:rFonts w:ascii="Bookman Old Style" w:eastAsia="Bookman Old Style" w:hAnsi="Bookman Old Style" w:cs="Bookman Old Style"/>
      <w:sz w:val="8"/>
      <w:szCs w:val="8"/>
      <w:lang w:val="ro-MD"/>
    </w:rPr>
  </w:style>
  <w:style w:type="character" w:customStyle="1" w:styleId="10">
    <w:name w:val="Основной текст (10)_"/>
    <w:link w:val="100"/>
    <w:locked/>
    <w:rsid w:val="000F4322"/>
    <w:rPr>
      <w:rFonts w:ascii="Bookman Old Style" w:eastAsia="Bookman Old Style" w:hAnsi="Bookman Old Style" w:cs="Bookman Old Style"/>
      <w:sz w:val="8"/>
      <w:szCs w:val="8"/>
      <w:shd w:val="clear" w:color="auto" w:fill="FFFFFF"/>
    </w:rPr>
  </w:style>
  <w:style w:type="paragraph" w:customStyle="1" w:styleId="100">
    <w:name w:val="Основной текст (10)"/>
    <w:basedOn w:val="Normal"/>
    <w:link w:val="10"/>
    <w:rsid w:val="000F4322"/>
    <w:pPr>
      <w:widowControl w:val="0"/>
      <w:shd w:val="clear" w:color="auto" w:fill="FFFFFF"/>
      <w:spacing w:line="0" w:lineRule="atLeast"/>
      <w:ind w:firstLine="0"/>
      <w:jc w:val="left"/>
    </w:pPr>
    <w:rPr>
      <w:rFonts w:ascii="Bookman Old Style" w:eastAsia="Bookman Old Style" w:hAnsi="Bookman Old Style" w:cs="Bookman Old Style"/>
      <w:sz w:val="8"/>
      <w:szCs w:val="8"/>
      <w:lang w:val="ro-MD"/>
    </w:rPr>
  </w:style>
  <w:style w:type="character" w:customStyle="1" w:styleId="11">
    <w:name w:val="Основной текст (11)_"/>
    <w:link w:val="110"/>
    <w:locked/>
    <w:rsid w:val="000F4322"/>
    <w:rPr>
      <w:rFonts w:ascii="Bookman Old Style" w:eastAsia="Bookman Old Style" w:hAnsi="Bookman Old Style" w:cs="Bookman Old Style"/>
      <w:sz w:val="8"/>
      <w:szCs w:val="8"/>
      <w:shd w:val="clear" w:color="auto" w:fill="FFFFFF"/>
    </w:rPr>
  </w:style>
  <w:style w:type="paragraph" w:customStyle="1" w:styleId="110">
    <w:name w:val="Основной текст (11)"/>
    <w:basedOn w:val="Normal"/>
    <w:link w:val="11"/>
    <w:rsid w:val="000F4322"/>
    <w:pPr>
      <w:widowControl w:val="0"/>
      <w:shd w:val="clear" w:color="auto" w:fill="FFFFFF"/>
      <w:spacing w:line="0" w:lineRule="atLeast"/>
      <w:ind w:firstLine="0"/>
      <w:jc w:val="left"/>
    </w:pPr>
    <w:rPr>
      <w:rFonts w:ascii="Bookman Old Style" w:eastAsia="Bookman Old Style" w:hAnsi="Bookman Old Style" w:cs="Bookman Old Style"/>
      <w:sz w:val="8"/>
      <w:szCs w:val="8"/>
      <w:lang w:val="ro-MD"/>
    </w:rPr>
  </w:style>
  <w:style w:type="character" w:customStyle="1" w:styleId="12">
    <w:name w:val="Основной текст (12)_"/>
    <w:link w:val="120"/>
    <w:locked/>
    <w:rsid w:val="000F4322"/>
    <w:rPr>
      <w:rFonts w:ascii="SimSun" w:eastAsia="SimSun" w:hAnsi="SimSun" w:cs="SimSun"/>
      <w:sz w:val="8"/>
      <w:szCs w:val="8"/>
      <w:shd w:val="clear" w:color="auto" w:fill="FFFFFF"/>
    </w:rPr>
  </w:style>
  <w:style w:type="paragraph" w:customStyle="1" w:styleId="120">
    <w:name w:val="Основной текст (12)"/>
    <w:basedOn w:val="Normal"/>
    <w:link w:val="12"/>
    <w:rsid w:val="000F4322"/>
    <w:pPr>
      <w:widowControl w:val="0"/>
      <w:shd w:val="clear" w:color="auto" w:fill="FFFFFF"/>
      <w:spacing w:line="0" w:lineRule="atLeast"/>
      <w:ind w:firstLine="0"/>
      <w:jc w:val="left"/>
    </w:pPr>
    <w:rPr>
      <w:rFonts w:ascii="SimSun" w:eastAsia="SimSun" w:hAnsi="SimSun" w:cs="SimSun"/>
      <w:sz w:val="8"/>
      <w:szCs w:val="8"/>
      <w:lang w:val="ro-MD"/>
    </w:rPr>
  </w:style>
  <w:style w:type="character" w:customStyle="1" w:styleId="13">
    <w:name w:val="Основной текст (13)_"/>
    <w:link w:val="130"/>
    <w:locked/>
    <w:rsid w:val="000F4322"/>
    <w:rPr>
      <w:rFonts w:ascii="Bookman Old Style" w:eastAsia="Bookman Old Style" w:hAnsi="Bookman Old Style" w:cs="Bookman Old Style"/>
      <w:sz w:val="8"/>
      <w:szCs w:val="8"/>
      <w:shd w:val="clear" w:color="auto" w:fill="FFFFFF"/>
    </w:rPr>
  </w:style>
  <w:style w:type="paragraph" w:customStyle="1" w:styleId="130">
    <w:name w:val="Основной текст (13)"/>
    <w:basedOn w:val="Normal"/>
    <w:link w:val="13"/>
    <w:rsid w:val="000F4322"/>
    <w:pPr>
      <w:widowControl w:val="0"/>
      <w:shd w:val="clear" w:color="auto" w:fill="FFFFFF"/>
      <w:spacing w:after="240" w:line="0" w:lineRule="atLeast"/>
      <w:ind w:firstLine="0"/>
      <w:jc w:val="left"/>
    </w:pPr>
    <w:rPr>
      <w:rFonts w:ascii="Bookman Old Style" w:eastAsia="Bookman Old Style" w:hAnsi="Bookman Old Style" w:cs="Bookman Old Style"/>
      <w:sz w:val="8"/>
      <w:szCs w:val="8"/>
      <w:lang w:val="ro-MD"/>
    </w:rPr>
  </w:style>
  <w:style w:type="character" w:customStyle="1" w:styleId="14">
    <w:name w:val="Основной текст (14)_"/>
    <w:link w:val="140"/>
    <w:locked/>
    <w:rsid w:val="000F4322"/>
    <w:rPr>
      <w:i/>
      <w:iCs/>
      <w:sz w:val="21"/>
      <w:szCs w:val="21"/>
      <w:shd w:val="clear" w:color="auto" w:fill="FFFFFF"/>
    </w:rPr>
  </w:style>
  <w:style w:type="paragraph" w:customStyle="1" w:styleId="140">
    <w:name w:val="Основной текст (14)"/>
    <w:basedOn w:val="Normal"/>
    <w:link w:val="14"/>
    <w:rsid w:val="000F4322"/>
    <w:pPr>
      <w:widowControl w:val="0"/>
      <w:shd w:val="clear" w:color="auto" w:fill="FFFFFF"/>
      <w:spacing w:before="4980" w:after="180" w:line="254" w:lineRule="exact"/>
      <w:ind w:firstLine="0"/>
    </w:pPr>
    <w:rPr>
      <w:rFonts w:asciiTheme="minorHAnsi" w:eastAsiaTheme="minorHAnsi" w:hAnsiTheme="minorHAnsi" w:cstheme="minorBidi"/>
      <w:i/>
      <w:iCs/>
      <w:sz w:val="21"/>
      <w:szCs w:val="21"/>
      <w:lang w:val="ro-MD"/>
    </w:rPr>
  </w:style>
  <w:style w:type="character" w:customStyle="1" w:styleId="15">
    <w:name w:val="Основной текст (15)_"/>
    <w:link w:val="150"/>
    <w:locked/>
    <w:rsid w:val="000F4322"/>
    <w:rPr>
      <w:b/>
      <w:bCs/>
      <w:sz w:val="18"/>
      <w:szCs w:val="18"/>
      <w:shd w:val="clear" w:color="auto" w:fill="FFFFFF"/>
    </w:rPr>
  </w:style>
  <w:style w:type="paragraph" w:customStyle="1" w:styleId="150">
    <w:name w:val="Основной текст (15)"/>
    <w:basedOn w:val="Normal"/>
    <w:link w:val="15"/>
    <w:rsid w:val="000F4322"/>
    <w:pPr>
      <w:widowControl w:val="0"/>
      <w:shd w:val="clear" w:color="auto" w:fill="FFFFFF"/>
      <w:spacing w:line="0" w:lineRule="atLeast"/>
      <w:ind w:firstLine="0"/>
      <w:jc w:val="left"/>
    </w:pPr>
    <w:rPr>
      <w:rFonts w:asciiTheme="minorHAnsi" w:eastAsiaTheme="minorHAnsi" w:hAnsiTheme="minorHAnsi" w:cstheme="minorBidi"/>
      <w:b/>
      <w:bCs/>
      <w:sz w:val="18"/>
      <w:szCs w:val="18"/>
      <w:lang w:val="ro-MD"/>
    </w:rPr>
  </w:style>
  <w:style w:type="character" w:styleId="Referinnotdefinal">
    <w:name w:val="endnote reference"/>
    <w:semiHidden/>
    <w:unhideWhenUsed/>
    <w:rsid w:val="000F4322"/>
    <w:rPr>
      <w:vertAlign w:val="superscript"/>
    </w:rPr>
  </w:style>
  <w:style w:type="character" w:styleId="Titlulcrii">
    <w:name w:val="Book Title"/>
    <w:basedOn w:val="Fontdeparagrafimplicit"/>
    <w:uiPriority w:val="33"/>
    <w:qFormat/>
    <w:rsid w:val="000F4322"/>
    <w:rPr>
      <w:b/>
      <w:bCs/>
      <w:smallCaps/>
      <w:spacing w:val="5"/>
    </w:rPr>
  </w:style>
  <w:style w:type="character" w:customStyle="1" w:styleId="hps">
    <w:name w:val="hps"/>
    <w:basedOn w:val="Fontdeparagrafimplicit"/>
    <w:rsid w:val="000F4322"/>
  </w:style>
  <w:style w:type="character" w:customStyle="1" w:styleId="WW8Num1z0">
    <w:name w:val="WW8Num1z0"/>
    <w:rsid w:val="000F4322"/>
    <w:rPr>
      <w:rFonts w:ascii="Wingdings 2" w:hAnsi="Wingdings 2" w:hint="default"/>
    </w:rPr>
  </w:style>
  <w:style w:type="character" w:customStyle="1" w:styleId="WW8Num6z0">
    <w:name w:val="WW8Num6z0"/>
    <w:rsid w:val="000F4322"/>
    <w:rPr>
      <w:rFonts w:ascii="Wingdings" w:hAnsi="Wingdings" w:hint="default"/>
      <w:sz w:val="16"/>
    </w:rPr>
  </w:style>
  <w:style w:type="character" w:customStyle="1" w:styleId="WW8Num6z1">
    <w:name w:val="WW8Num6z1"/>
    <w:rsid w:val="000F4322"/>
    <w:rPr>
      <w:rFonts w:ascii="Courier New" w:hAnsi="Courier New" w:cs="Courier New" w:hint="default"/>
    </w:rPr>
  </w:style>
  <w:style w:type="character" w:customStyle="1" w:styleId="WW8Num6z2">
    <w:name w:val="WW8Num6z2"/>
    <w:rsid w:val="000F4322"/>
    <w:rPr>
      <w:rFonts w:ascii="Wingdings" w:hAnsi="Wingdings" w:hint="default"/>
    </w:rPr>
  </w:style>
  <w:style w:type="character" w:customStyle="1" w:styleId="WW8Num6z3">
    <w:name w:val="WW8Num6z3"/>
    <w:rsid w:val="000F4322"/>
    <w:rPr>
      <w:rFonts w:ascii="Symbol" w:hAnsi="Symbol" w:hint="default"/>
    </w:rPr>
  </w:style>
  <w:style w:type="character" w:customStyle="1" w:styleId="WW8Num7z0">
    <w:name w:val="WW8Num7z0"/>
    <w:rsid w:val="000F4322"/>
    <w:rPr>
      <w:rFonts w:ascii="Symbol" w:hAnsi="Symbol" w:hint="default"/>
    </w:rPr>
  </w:style>
  <w:style w:type="character" w:customStyle="1" w:styleId="WW8Num10z0">
    <w:name w:val="WW8Num10z0"/>
    <w:rsid w:val="000F4322"/>
    <w:rPr>
      <w:rFonts w:ascii="Symbol" w:hAnsi="Symbol" w:hint="default"/>
    </w:rPr>
  </w:style>
  <w:style w:type="character" w:customStyle="1" w:styleId="WW8Num10z1">
    <w:name w:val="WW8Num10z1"/>
    <w:rsid w:val="000F4322"/>
    <w:rPr>
      <w:rFonts w:ascii="Courier New" w:hAnsi="Courier New" w:cs="Courier New" w:hint="default"/>
    </w:rPr>
  </w:style>
  <w:style w:type="character" w:customStyle="1" w:styleId="WW8Num10z2">
    <w:name w:val="WW8Num10z2"/>
    <w:rsid w:val="000F4322"/>
    <w:rPr>
      <w:rFonts w:ascii="Wingdings" w:hAnsi="Wingdings" w:hint="default"/>
    </w:rPr>
  </w:style>
  <w:style w:type="character" w:customStyle="1" w:styleId="WW8Num11z0">
    <w:name w:val="WW8Num11z0"/>
    <w:rsid w:val="000F4322"/>
    <w:rPr>
      <w:rFonts w:ascii="Symbol" w:hAnsi="Symbol" w:hint="default"/>
    </w:rPr>
  </w:style>
  <w:style w:type="character" w:customStyle="1" w:styleId="WW8Num11z1">
    <w:name w:val="WW8Num11z1"/>
    <w:rsid w:val="000F4322"/>
    <w:rPr>
      <w:rFonts w:ascii="Courier New" w:hAnsi="Courier New" w:cs="Courier New" w:hint="default"/>
    </w:rPr>
  </w:style>
  <w:style w:type="character" w:customStyle="1" w:styleId="WW8Num11z2">
    <w:name w:val="WW8Num11z2"/>
    <w:rsid w:val="000F4322"/>
    <w:rPr>
      <w:rFonts w:ascii="Wingdings" w:hAnsi="Wingdings" w:hint="default"/>
    </w:rPr>
  </w:style>
  <w:style w:type="character" w:customStyle="1" w:styleId="WW8Num12z0">
    <w:name w:val="WW8Num12z0"/>
    <w:rsid w:val="000F4322"/>
    <w:rPr>
      <w:rFonts w:ascii="Symbol" w:hAnsi="Symbol" w:hint="default"/>
    </w:rPr>
  </w:style>
  <w:style w:type="character" w:customStyle="1" w:styleId="WW8Num12z1">
    <w:name w:val="WW8Num12z1"/>
    <w:rsid w:val="000F4322"/>
    <w:rPr>
      <w:rFonts w:ascii="Courier New" w:hAnsi="Courier New" w:cs="Courier New" w:hint="default"/>
    </w:rPr>
  </w:style>
  <w:style w:type="character" w:customStyle="1" w:styleId="WW8Num12z2">
    <w:name w:val="WW8Num12z2"/>
    <w:rsid w:val="000F4322"/>
    <w:rPr>
      <w:rFonts w:ascii="Wingdings" w:hAnsi="Wingdings" w:hint="default"/>
    </w:rPr>
  </w:style>
  <w:style w:type="character" w:customStyle="1" w:styleId="WW8Num13z0">
    <w:name w:val="WW8Num13z0"/>
    <w:rsid w:val="000F4322"/>
    <w:rPr>
      <w:rFonts w:ascii="Wingdings" w:hAnsi="Wingdings" w:hint="default"/>
      <w:sz w:val="16"/>
    </w:rPr>
  </w:style>
  <w:style w:type="character" w:customStyle="1" w:styleId="WW8Num13z1">
    <w:name w:val="WW8Num13z1"/>
    <w:rsid w:val="000F4322"/>
    <w:rPr>
      <w:rFonts w:ascii="Courier New" w:hAnsi="Courier New" w:cs="Courier New" w:hint="default"/>
    </w:rPr>
  </w:style>
  <w:style w:type="character" w:customStyle="1" w:styleId="WW8Num13z2">
    <w:name w:val="WW8Num13z2"/>
    <w:rsid w:val="000F4322"/>
    <w:rPr>
      <w:rFonts w:ascii="Wingdings" w:hAnsi="Wingdings" w:hint="default"/>
    </w:rPr>
  </w:style>
  <w:style w:type="character" w:customStyle="1" w:styleId="WW8Num13z3">
    <w:name w:val="WW8Num13z3"/>
    <w:rsid w:val="000F4322"/>
    <w:rPr>
      <w:rFonts w:ascii="Symbol" w:hAnsi="Symbol" w:hint="default"/>
    </w:rPr>
  </w:style>
  <w:style w:type="character" w:customStyle="1" w:styleId="WW8Num15z0">
    <w:name w:val="WW8Num15z0"/>
    <w:rsid w:val="000F4322"/>
    <w:rPr>
      <w:rFonts w:ascii="Times New Roman" w:hAnsi="Times New Roman" w:cs="Times New Roman" w:hint="default"/>
    </w:rPr>
  </w:style>
  <w:style w:type="character" w:customStyle="1" w:styleId="WW8Num16z0">
    <w:name w:val="WW8Num16z0"/>
    <w:rsid w:val="000F4322"/>
    <w:rPr>
      <w:rFonts w:ascii="Symbol" w:hAnsi="Symbol" w:hint="default"/>
      <w:sz w:val="16"/>
    </w:rPr>
  </w:style>
  <w:style w:type="character" w:customStyle="1" w:styleId="WW8Num17z0">
    <w:name w:val="WW8Num17z0"/>
    <w:rsid w:val="000F4322"/>
    <w:rPr>
      <w:rFonts w:ascii="Times New Roman" w:hAnsi="Times New Roman" w:cs="Times New Roman" w:hint="default"/>
    </w:rPr>
  </w:style>
  <w:style w:type="character" w:customStyle="1" w:styleId="WW8Num17z1">
    <w:name w:val="WW8Num17z1"/>
    <w:rsid w:val="000F4322"/>
    <w:rPr>
      <w:rFonts w:ascii="Courier New" w:hAnsi="Courier New" w:cs="Courier New" w:hint="default"/>
    </w:rPr>
  </w:style>
  <w:style w:type="character" w:customStyle="1" w:styleId="WW8Num17z2">
    <w:name w:val="WW8Num17z2"/>
    <w:rsid w:val="000F4322"/>
    <w:rPr>
      <w:rFonts w:ascii="Wingdings" w:hAnsi="Wingdings" w:hint="default"/>
    </w:rPr>
  </w:style>
  <w:style w:type="character" w:customStyle="1" w:styleId="WW8Num17z3">
    <w:name w:val="WW8Num17z3"/>
    <w:rsid w:val="000F4322"/>
    <w:rPr>
      <w:rFonts w:ascii="Symbol" w:hAnsi="Symbol" w:hint="default"/>
    </w:rPr>
  </w:style>
  <w:style w:type="character" w:customStyle="1" w:styleId="WW8Num21z0">
    <w:name w:val="WW8Num21z0"/>
    <w:rsid w:val="000F4322"/>
    <w:rPr>
      <w:rFonts w:ascii="Symbol" w:hAnsi="Symbol" w:hint="default"/>
    </w:rPr>
  </w:style>
  <w:style w:type="character" w:customStyle="1" w:styleId="WW8Num22z0">
    <w:name w:val="WW8Num22z0"/>
    <w:rsid w:val="000F4322"/>
    <w:rPr>
      <w:rFonts w:ascii="Symbol" w:hAnsi="Symbol" w:hint="default"/>
    </w:rPr>
  </w:style>
  <w:style w:type="character" w:customStyle="1" w:styleId="WW8Num24z0">
    <w:name w:val="WW8Num24z0"/>
    <w:rsid w:val="000F4322"/>
    <w:rPr>
      <w:rFonts w:ascii="Symbol" w:hAnsi="Symbol" w:hint="default"/>
    </w:rPr>
  </w:style>
  <w:style w:type="character" w:customStyle="1" w:styleId="WW8Num26z1">
    <w:name w:val="WW8Num26z1"/>
    <w:rsid w:val="000F4322"/>
    <w:rPr>
      <w:rFonts w:ascii="Courier New" w:hAnsi="Courier New" w:cs="Courier New" w:hint="default"/>
    </w:rPr>
  </w:style>
  <w:style w:type="character" w:customStyle="1" w:styleId="WW8Num26z2">
    <w:name w:val="WW8Num26z2"/>
    <w:rsid w:val="000F4322"/>
    <w:rPr>
      <w:rFonts w:ascii="Wingdings" w:hAnsi="Wingdings" w:hint="default"/>
    </w:rPr>
  </w:style>
  <w:style w:type="character" w:customStyle="1" w:styleId="WW8Num26z3">
    <w:name w:val="WW8Num26z3"/>
    <w:rsid w:val="000F4322"/>
    <w:rPr>
      <w:rFonts w:ascii="Symbol" w:hAnsi="Symbol" w:hint="default"/>
    </w:rPr>
  </w:style>
  <w:style w:type="character" w:customStyle="1" w:styleId="DefaultParagraphFont1">
    <w:name w:val="Default Paragraph Font1"/>
    <w:rsid w:val="000F4322"/>
  </w:style>
  <w:style w:type="character" w:customStyle="1" w:styleId="FootnoteCharacters">
    <w:name w:val="Footnote Characters"/>
    <w:rsid w:val="000F4322"/>
    <w:rPr>
      <w:vertAlign w:val="superscript"/>
    </w:rPr>
  </w:style>
  <w:style w:type="character" w:customStyle="1" w:styleId="Heading3CharCharCharChar">
    <w:name w:val="Heading 3 Char Char Char Char"/>
    <w:rsid w:val="000F4322"/>
    <w:rPr>
      <w:rFonts w:ascii="Arial" w:hAnsi="Arial" w:cs="Arial" w:hint="default"/>
      <w:b/>
      <w:bCs w:val="0"/>
      <w:sz w:val="26"/>
      <w:lang w:val="hr-HR" w:eastAsia="ar-SA" w:bidi="ar-SA"/>
    </w:rPr>
  </w:style>
  <w:style w:type="character" w:customStyle="1" w:styleId="tal">
    <w:name w:val="tal"/>
    <w:rsid w:val="000F4322"/>
    <w:rPr>
      <w:rFonts w:ascii="Times New Roman" w:hAnsi="Times New Roman" w:cs="Times New Roman" w:hint="default"/>
    </w:rPr>
  </w:style>
  <w:style w:type="character" w:customStyle="1" w:styleId="primfunc12">
    <w:name w:val="prim_func12"/>
    <w:rsid w:val="000F4322"/>
    <w:rPr>
      <w:rFonts w:ascii="Verdana" w:hAnsi="Verdana" w:hint="default"/>
      <w:b/>
      <w:bCs w:val="0"/>
      <w:strike w:val="0"/>
      <w:dstrike w:val="0"/>
      <w:color w:val="4A6487"/>
      <w:sz w:val="16"/>
      <w:u w:val="none"/>
      <w:effect w:val="none"/>
    </w:rPr>
  </w:style>
  <w:style w:type="character" w:customStyle="1" w:styleId="ListBullet2Char">
    <w:name w:val="List Bullet 2 Char"/>
    <w:rsid w:val="000F4322"/>
    <w:rPr>
      <w:rFonts w:ascii="Bookman Old Style" w:hAnsi="Bookman Old Style" w:hint="default"/>
      <w:sz w:val="24"/>
      <w:lang w:val="en-US"/>
    </w:rPr>
  </w:style>
  <w:style w:type="character" w:customStyle="1" w:styleId="WW-FootnoteCharacters">
    <w:name w:val="WW-Footnote Characters"/>
    <w:rsid w:val="000F4322"/>
    <w:rPr>
      <w:vertAlign w:val="superscript"/>
    </w:rPr>
  </w:style>
  <w:style w:type="character" w:customStyle="1" w:styleId="Foootnote">
    <w:name w:val="Foootnote"/>
    <w:rsid w:val="000F4322"/>
    <w:rPr>
      <w:color w:val="000000"/>
      <w:vertAlign w:val="superscript"/>
    </w:rPr>
  </w:style>
  <w:style w:type="character" w:customStyle="1" w:styleId="NormalWebChar">
    <w:name w:val="Normal (Web) Char"/>
    <w:rsid w:val="000F4322"/>
    <w:rPr>
      <w:sz w:val="24"/>
      <w:lang w:val="en-US"/>
    </w:rPr>
  </w:style>
  <w:style w:type="character" w:customStyle="1" w:styleId="BodyTextIndent3Char">
    <w:name w:val="Body Text Indent 3 Char"/>
    <w:rsid w:val="000F4322"/>
    <w:rPr>
      <w:sz w:val="16"/>
      <w:lang w:val="en-AU"/>
    </w:rPr>
  </w:style>
  <w:style w:type="character" w:customStyle="1" w:styleId="BodyTextChar">
    <w:name w:val="Body Text Char"/>
    <w:rsid w:val="000F4322"/>
    <w:rPr>
      <w:sz w:val="24"/>
      <w:lang w:val="en-US"/>
    </w:rPr>
  </w:style>
  <w:style w:type="character" w:customStyle="1" w:styleId="EndnoteCharacters">
    <w:name w:val="Endnote Characters"/>
    <w:rsid w:val="000F4322"/>
  </w:style>
  <w:style w:type="character" w:customStyle="1" w:styleId="1">
    <w:name w:val="Схема документа Знак1"/>
    <w:basedOn w:val="Fontdeparagrafimplicit"/>
    <w:uiPriority w:val="99"/>
    <w:semiHidden/>
    <w:rsid w:val="000F4322"/>
    <w:rPr>
      <w:rFonts w:ascii="Segoe UI" w:eastAsia="Times New Roman" w:hAnsi="Segoe UI" w:cs="Segoe UI" w:hint="default"/>
      <w:sz w:val="16"/>
      <w:szCs w:val="16"/>
      <w:lang w:val="ru-RU"/>
    </w:rPr>
  </w:style>
  <w:style w:type="character" w:customStyle="1" w:styleId="16">
    <w:name w:val="Текст примечания Знак1"/>
    <w:basedOn w:val="Fontdeparagrafimplicit"/>
    <w:uiPriority w:val="99"/>
    <w:semiHidden/>
    <w:rsid w:val="000F4322"/>
    <w:rPr>
      <w:rFonts w:ascii="Times New Roman" w:eastAsia="Times New Roman" w:hAnsi="Times New Roman" w:cs="Times New Roman" w:hint="default"/>
      <w:sz w:val="20"/>
      <w:szCs w:val="20"/>
      <w:lang w:val="ru-RU"/>
    </w:rPr>
  </w:style>
  <w:style w:type="character" w:customStyle="1" w:styleId="17">
    <w:name w:val="Тема примечания Знак1"/>
    <w:basedOn w:val="16"/>
    <w:uiPriority w:val="99"/>
    <w:semiHidden/>
    <w:rsid w:val="000F4322"/>
    <w:rPr>
      <w:rFonts w:ascii="Times New Roman" w:eastAsia="Times New Roman" w:hAnsi="Times New Roman" w:cs="Times New Roman" w:hint="default"/>
      <w:b/>
      <w:bCs/>
      <w:sz w:val="20"/>
      <w:szCs w:val="20"/>
      <w:lang w:val="ru-RU"/>
    </w:rPr>
  </w:style>
  <w:style w:type="character" w:customStyle="1" w:styleId="apple-style-span">
    <w:name w:val="apple-style-span"/>
    <w:rsid w:val="000F4322"/>
  </w:style>
  <w:style w:type="character" w:customStyle="1" w:styleId="sttalineat">
    <w:name w:val="sttalineat"/>
    <w:rsid w:val="000F4322"/>
    <w:rPr>
      <w:rFonts w:ascii="Times New Roman" w:hAnsi="Times New Roman" w:cs="Times New Roman" w:hint="default"/>
    </w:rPr>
  </w:style>
  <w:style w:type="character" w:customStyle="1" w:styleId="st">
    <w:name w:val="st"/>
    <w:basedOn w:val="Fontdeparagrafimplicit"/>
    <w:rsid w:val="000F4322"/>
  </w:style>
  <w:style w:type="character" w:customStyle="1" w:styleId="docbody">
    <w:name w:val="doc_body"/>
    <w:basedOn w:val="Fontdeparagrafimplicit"/>
    <w:rsid w:val="000F4322"/>
  </w:style>
  <w:style w:type="character" w:customStyle="1" w:styleId="shorttext">
    <w:name w:val="short_text"/>
    <w:basedOn w:val="Fontdeparagrafimplicit"/>
    <w:rsid w:val="000F4322"/>
  </w:style>
  <w:style w:type="character" w:customStyle="1" w:styleId="2">
    <w:name w:val="Основной текст (2)_"/>
    <w:rsid w:val="000F4322"/>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0">
    <w:name w:val="Основной текст (2)"/>
    <w:rsid w:val="000F4322"/>
    <w:rPr>
      <w:rFonts w:ascii="Times New Roman" w:eastAsia="Times New Roman" w:hAnsi="Times New Roman" w:cs="Times New Roman" w:hint="default"/>
      <w:b/>
      <w:bCs/>
      <w:i w:val="0"/>
      <w:iCs w:val="0"/>
      <w:smallCaps w:val="0"/>
      <w:color w:val="000000"/>
      <w:spacing w:val="0"/>
      <w:w w:val="100"/>
      <w:position w:val="0"/>
      <w:sz w:val="22"/>
      <w:szCs w:val="22"/>
      <w:u w:val="single"/>
      <w:lang w:val="ro-RO"/>
    </w:rPr>
  </w:style>
  <w:style w:type="character" w:customStyle="1" w:styleId="61">
    <w:name w:val="Колонтитул + 6"/>
    <w:aliases w:val="5 pt,Полужирный"/>
    <w:rsid w:val="000F4322"/>
    <w:rPr>
      <w:rFonts w:ascii="Times New Roman" w:eastAsia="Times New Roman" w:hAnsi="Times New Roman" w:cs="Times New Roman" w:hint="default"/>
      <w:b w:val="0"/>
      <w:bCs w:val="0"/>
      <w:i w:val="0"/>
      <w:iCs w:val="0"/>
      <w:smallCaps w:val="0"/>
      <w:strike w:val="0"/>
      <w:dstrike w:val="0"/>
      <w:color w:val="000000"/>
      <w:spacing w:val="0"/>
      <w:w w:val="100"/>
      <w:position w:val="0"/>
      <w:sz w:val="9"/>
      <w:szCs w:val="9"/>
      <w:u w:val="none"/>
      <w:effect w:val="none"/>
    </w:rPr>
  </w:style>
  <w:style w:type="character" w:customStyle="1" w:styleId="a5">
    <w:name w:val="Основной текст + Курсив"/>
    <w:rsid w:val="000F4322"/>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o-RO"/>
    </w:rPr>
  </w:style>
  <w:style w:type="character" w:customStyle="1" w:styleId="18">
    <w:name w:val="Основной текст1"/>
    <w:rsid w:val="000F432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rPr>
  </w:style>
  <w:style w:type="character" w:customStyle="1" w:styleId="22">
    <w:name w:val="Основной текст2"/>
    <w:rsid w:val="000F4322"/>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o-RO"/>
    </w:rPr>
  </w:style>
  <w:style w:type="character" w:customStyle="1" w:styleId="4pt">
    <w:name w:val="Основной текст + 4 pt"/>
    <w:rsid w:val="000F4322"/>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rPr>
  </w:style>
  <w:style w:type="character" w:customStyle="1" w:styleId="40">
    <w:name w:val="Основной текст (4)_"/>
    <w:rsid w:val="000F4322"/>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31">
    <w:name w:val="Основной текст3"/>
    <w:rsid w:val="000F432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rPr>
  </w:style>
  <w:style w:type="character" w:customStyle="1" w:styleId="23">
    <w:name w:val="Заголовок №2_"/>
    <w:rsid w:val="000F4322"/>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9">
    <w:name w:val="Заголовок №1_"/>
    <w:rsid w:val="000F4322"/>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a">
    <w:name w:val="Заголовок №1"/>
    <w:rsid w:val="000F432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o-RO"/>
    </w:rPr>
  </w:style>
  <w:style w:type="character" w:customStyle="1" w:styleId="24">
    <w:name w:val="Заголовок №2"/>
    <w:rsid w:val="000F432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o-RO"/>
    </w:rPr>
  </w:style>
  <w:style w:type="character" w:customStyle="1" w:styleId="41">
    <w:name w:val="Основной текст (4)"/>
    <w:rsid w:val="000F4322"/>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o-RO"/>
    </w:rPr>
  </w:style>
  <w:style w:type="character" w:customStyle="1" w:styleId="a6">
    <w:name w:val="Подпись к таблице_"/>
    <w:rsid w:val="000F4322"/>
    <w:rPr>
      <w:rFonts w:ascii="Times New Roman" w:eastAsia="Times New Roman" w:hAnsi="Times New Roman" w:cs="Times New Roman" w:hint="default"/>
      <w:b/>
      <w:bCs/>
      <w:i w:val="0"/>
      <w:iCs w:val="0"/>
      <w:smallCaps w:val="0"/>
      <w:strike w:val="0"/>
      <w:dstrike w:val="0"/>
      <w:sz w:val="18"/>
      <w:szCs w:val="18"/>
      <w:u w:val="none"/>
      <w:effect w:val="none"/>
    </w:rPr>
  </w:style>
  <w:style w:type="character" w:customStyle="1" w:styleId="a7">
    <w:name w:val="Подпись к таблице"/>
    <w:rsid w:val="000F4322"/>
    <w:rPr>
      <w:rFonts w:ascii="Times New Roman" w:eastAsia="Times New Roman" w:hAnsi="Times New Roman" w:cs="Times New Roman" w:hint="default"/>
      <w:b/>
      <w:bCs/>
      <w:i w:val="0"/>
      <w:iCs w:val="0"/>
      <w:smallCaps w:val="0"/>
      <w:color w:val="000000"/>
      <w:spacing w:val="0"/>
      <w:w w:val="100"/>
      <w:position w:val="0"/>
      <w:sz w:val="18"/>
      <w:szCs w:val="18"/>
      <w:u w:val="single"/>
      <w:lang w:val="ro-RO"/>
    </w:rPr>
  </w:style>
  <w:style w:type="character" w:customStyle="1" w:styleId="BookmanOldStyle">
    <w:name w:val="Основной текст + Bookman Old Style"/>
    <w:aliases w:val="4 pt"/>
    <w:rsid w:val="000F4322"/>
    <w:rPr>
      <w:rFonts w:ascii="Bookman Old Style" w:eastAsia="Bookman Old Style" w:hAnsi="Bookman Old Style" w:cs="Bookman Old Style" w:hint="default"/>
      <w:b w:val="0"/>
      <w:bCs w:val="0"/>
      <w:i w:val="0"/>
      <w:iCs w:val="0"/>
      <w:smallCaps w:val="0"/>
      <w:strike w:val="0"/>
      <w:dstrike w:val="0"/>
      <w:color w:val="000000"/>
      <w:spacing w:val="0"/>
      <w:w w:val="100"/>
      <w:position w:val="0"/>
      <w:sz w:val="8"/>
      <w:szCs w:val="8"/>
      <w:u w:val="none"/>
      <w:effect w:val="none"/>
    </w:rPr>
  </w:style>
  <w:style w:type="character" w:customStyle="1" w:styleId="2Exact">
    <w:name w:val="Основной текст (2) Exact"/>
    <w:rsid w:val="000F4322"/>
    <w:rPr>
      <w:rFonts w:ascii="Times New Roman" w:eastAsia="Times New Roman" w:hAnsi="Times New Roman" w:cs="Times New Roman" w:hint="default"/>
      <w:b/>
      <w:bCs/>
      <w:i w:val="0"/>
      <w:iCs w:val="0"/>
      <w:smallCaps w:val="0"/>
      <w:strike w:val="0"/>
      <w:dstrike w:val="0"/>
      <w:color w:val="141414"/>
      <w:spacing w:val="3"/>
      <w:sz w:val="21"/>
      <w:szCs w:val="21"/>
      <w:u w:val="none"/>
      <w:effect w:val="none"/>
    </w:rPr>
  </w:style>
  <w:style w:type="character" w:customStyle="1" w:styleId="20ptExact">
    <w:name w:val="Основной текст (2) + Интервал 0 pt Exact"/>
    <w:rsid w:val="000F4322"/>
    <w:rPr>
      <w:rFonts w:ascii="Times New Roman" w:eastAsia="Times New Roman" w:hAnsi="Times New Roman" w:cs="Times New Roman" w:hint="default"/>
      <w:b/>
      <w:bCs/>
      <w:i w:val="0"/>
      <w:iCs w:val="0"/>
      <w:smallCaps w:val="0"/>
      <w:strike w:val="0"/>
      <w:dstrike w:val="0"/>
      <w:color w:val="FFFFFF"/>
      <w:spacing w:val="2"/>
      <w:w w:val="100"/>
      <w:position w:val="0"/>
      <w:sz w:val="21"/>
      <w:szCs w:val="21"/>
      <w:u w:val="none"/>
      <w:effect w:val="none"/>
      <w:lang w:val="ro-RO"/>
    </w:rPr>
  </w:style>
  <w:style w:type="character" w:customStyle="1" w:styleId="Exact">
    <w:name w:val="Основной текст Exact"/>
    <w:rsid w:val="000F4322"/>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0ptExact">
    <w:name w:val="Основной текст + Интервал 0 pt Exact"/>
    <w:rsid w:val="000F4322"/>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o-RO"/>
    </w:rPr>
  </w:style>
  <w:style w:type="character" w:customStyle="1" w:styleId="141">
    <w:name w:val="Основной текст (14) + Не курсив"/>
    <w:rsid w:val="000F432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o-RO"/>
    </w:rPr>
  </w:style>
  <w:style w:type="character" w:customStyle="1" w:styleId="FontStyle30">
    <w:name w:val="Font Style30"/>
    <w:uiPriority w:val="99"/>
    <w:rsid w:val="000F4322"/>
    <w:rPr>
      <w:rFonts w:ascii="Times New Roman" w:hAnsi="Times New Roman" w:cs="Times New Roman" w:hint="default"/>
      <w:spacing w:val="10"/>
      <w:sz w:val="24"/>
      <w:szCs w:val="24"/>
    </w:rPr>
  </w:style>
  <w:style w:type="table" w:customStyle="1" w:styleId="TableGrid1">
    <w:name w:val="Table Grid1"/>
    <w:basedOn w:val="TabelNormal"/>
    <w:uiPriority w:val="59"/>
    <w:rsid w:val="000F432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2628</Words>
  <Characters>15244</Characters>
  <Application>Microsoft Office Word</Application>
  <DocSecurity>0</DocSecurity>
  <Lines>127</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Marin</dc:creator>
  <cp:keywords/>
  <dc:description/>
  <cp:lastModifiedBy>Maria Marin</cp:lastModifiedBy>
  <cp:revision>4</cp:revision>
  <cp:lastPrinted>2018-07-30T08:57:00Z</cp:lastPrinted>
  <dcterms:created xsi:type="dcterms:W3CDTF">2018-07-26T13:56:00Z</dcterms:created>
  <dcterms:modified xsi:type="dcterms:W3CDTF">2018-07-30T08:57:00Z</dcterms:modified>
</cp:coreProperties>
</file>